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00262" w:rsidRPr="00F00262" w:rsidTr="00D37AE9">
        <w:trPr>
          <w:jc w:val="center"/>
        </w:trPr>
        <w:tc>
          <w:tcPr>
            <w:tcW w:w="743" w:type="dxa"/>
            <w:hideMark/>
          </w:tcPr>
          <w:p w:rsidR="00F00262" w:rsidRPr="00F00262" w:rsidRDefault="00F00262" w:rsidP="00F00262">
            <w:pPr>
              <w:jc w:val="both"/>
              <w:rPr>
                <w:rFonts w:ascii="Arial (W1)" w:hAnsi="Arial (W1)" w:cs="David"/>
                <w:b/>
                <w:bCs/>
                <w:noProof/>
                <w:sz w:val="28"/>
                <w:szCs w:val="28"/>
              </w:rPr>
            </w:pPr>
            <w:r w:rsidRPr="00F00262">
              <w:rPr>
                <w:rFonts w:cs="David" w:hint="cs"/>
                <w:b/>
                <w:bCs/>
                <w:noProof/>
                <w:sz w:val="28"/>
                <w:szCs w:val="24"/>
                <w:rtl/>
              </w:rPr>
              <w:t xml:space="preserve">לפני </w:t>
            </w:r>
          </w:p>
        </w:tc>
        <w:tc>
          <w:tcPr>
            <w:tcW w:w="8077" w:type="dxa"/>
            <w:gridSpan w:val="2"/>
            <w:hideMark/>
          </w:tcPr>
          <w:p w:rsidR="00F00262" w:rsidRPr="00F00262" w:rsidRDefault="00F00262" w:rsidP="00F00262">
            <w:pPr>
              <w:rPr>
                <w:rFonts w:ascii="Arial" w:hAnsi="Arial" w:cs="David"/>
                <w:b/>
                <w:bCs/>
                <w:noProof/>
                <w:sz w:val="24"/>
                <w:szCs w:val="24"/>
                <w:rtl/>
              </w:rPr>
            </w:pPr>
            <w:r w:rsidRPr="00F00262">
              <w:rPr>
                <w:rFonts w:ascii="Arial" w:hAnsi="Arial" w:cs="David" w:hint="cs"/>
                <w:b/>
                <w:bCs/>
                <w:noProof/>
                <w:sz w:val="24"/>
                <w:szCs w:val="24"/>
                <w:rtl/>
              </w:rPr>
              <w:t>כבוד ה</w:t>
            </w:r>
            <w:sdt>
              <w:sdtPr>
                <w:rPr>
                  <w:rFonts w:cs="David"/>
                  <w:b/>
                  <w:bCs/>
                  <w:noProof/>
                  <w:sz w:val="24"/>
                  <w:szCs w:val="24"/>
                  <w:rtl/>
                </w:rPr>
                <w:alias w:val="1574"/>
                <w:tag w:val="1574"/>
                <w:id w:val="-868990752"/>
                <w:text w:multiLine="1"/>
              </w:sdtPr>
              <w:sdtEndPr/>
              <w:sdtContent>
                <w:r w:rsidRPr="00F00262">
                  <w:rPr>
                    <w:rFonts w:cs="David"/>
                    <w:b/>
                    <w:bCs/>
                    <w:noProof/>
                    <w:sz w:val="24"/>
                    <w:szCs w:val="24"/>
                    <w:rtl/>
                  </w:rPr>
                  <w:t>שופטת</w:t>
                </w:r>
              </w:sdtContent>
            </w:sdt>
            <w:r w:rsidRPr="00F00262">
              <w:rPr>
                <w:rFonts w:ascii="Arial" w:hAnsi="Arial" w:cs="David" w:hint="cs"/>
                <w:b/>
                <w:bCs/>
                <w:noProof/>
                <w:sz w:val="24"/>
                <w:szCs w:val="24"/>
                <w:rtl/>
              </w:rPr>
              <w:t xml:space="preserve">  </w:t>
            </w:r>
            <w:sdt>
              <w:sdtPr>
                <w:rPr>
                  <w:rFonts w:cs="David"/>
                  <w:b/>
                  <w:bCs/>
                  <w:noProof/>
                  <w:sz w:val="24"/>
                  <w:szCs w:val="24"/>
                  <w:rtl/>
                </w:rPr>
                <w:alias w:val="1573"/>
                <w:tag w:val="1573"/>
                <w:id w:val="407734867"/>
                <w:text w:multiLine="1"/>
              </w:sdtPr>
              <w:sdtEndPr/>
              <w:sdtContent>
                <w:r w:rsidRPr="00F00262">
                  <w:rPr>
                    <w:rFonts w:cs="David"/>
                    <w:b/>
                    <w:bCs/>
                    <w:noProof/>
                    <w:sz w:val="24"/>
                    <w:szCs w:val="24"/>
                    <w:rtl/>
                  </w:rPr>
                  <w:t>עידית בן-דב ג'וליאן</w:t>
                </w:r>
              </w:sdtContent>
            </w:sdt>
          </w:p>
          <w:p w:rsidR="00F00262" w:rsidRPr="00F00262" w:rsidRDefault="00F00262" w:rsidP="00F00262">
            <w:pPr>
              <w:rPr>
                <w:rFonts w:cs="David"/>
                <w:b/>
                <w:bCs/>
                <w:noProof/>
                <w:sz w:val="24"/>
                <w:szCs w:val="24"/>
              </w:rPr>
            </w:pPr>
          </w:p>
        </w:tc>
      </w:tr>
      <w:tr w:rsidR="00F00262" w:rsidRPr="00F00262" w:rsidTr="00D37AE9">
        <w:trPr>
          <w:jc w:val="center"/>
        </w:trPr>
        <w:tc>
          <w:tcPr>
            <w:tcW w:w="3249" w:type="dxa"/>
            <w:gridSpan w:val="2"/>
          </w:tcPr>
          <w:p w:rsidR="00F00262" w:rsidRPr="00F00262" w:rsidRDefault="00F00262" w:rsidP="00F00262">
            <w:pPr>
              <w:bidi w:val="0"/>
              <w:rPr>
                <w:rFonts w:ascii="Arial (W1)" w:hAnsi="Arial (W1)" w:cs="David"/>
                <w:b/>
                <w:bCs/>
                <w:sz w:val="24"/>
                <w:szCs w:val="24"/>
                <w:rtl/>
              </w:rPr>
            </w:pPr>
          </w:p>
          <w:sdt>
            <w:sdtPr>
              <w:rPr>
                <w:rFonts w:cs="David" w:hint="cs"/>
                <w:b/>
                <w:bCs/>
                <w:noProof/>
                <w:sz w:val="24"/>
                <w:szCs w:val="24"/>
                <w:rtl/>
              </w:rPr>
              <w:alias w:val="1180"/>
              <w:tag w:val="1180"/>
              <w:id w:val="-803768281"/>
              <w:text w:multiLine="1"/>
            </w:sdtPr>
            <w:sdtEndPr/>
            <w:sdtContent>
              <w:p w:rsidR="00F00262" w:rsidRPr="00F00262" w:rsidRDefault="00F00262" w:rsidP="00F00262">
                <w:pPr>
                  <w:rPr>
                    <w:rFonts w:ascii="Arial (W1)" w:hAnsi="Arial (W1)" w:cs="David"/>
                    <w:b/>
                    <w:bCs/>
                    <w:sz w:val="24"/>
                    <w:szCs w:val="24"/>
                  </w:rPr>
                </w:pPr>
                <w:r w:rsidRPr="00F00262">
                  <w:rPr>
                    <w:rFonts w:cs="David" w:hint="cs"/>
                    <w:b/>
                    <w:bCs/>
                    <w:noProof/>
                    <w:sz w:val="24"/>
                    <w:szCs w:val="24"/>
                    <w:rtl/>
                  </w:rPr>
                  <w:t>מבקשת</w:t>
                </w:r>
              </w:p>
            </w:sdtContent>
          </w:sdt>
        </w:tc>
        <w:tc>
          <w:tcPr>
            <w:tcW w:w="5571" w:type="dxa"/>
          </w:tcPr>
          <w:p w:rsidR="00F00262" w:rsidRPr="00F00262" w:rsidRDefault="00F00262" w:rsidP="00F00262">
            <w:pPr>
              <w:rPr>
                <w:rFonts w:ascii="Arial (W1)" w:hAnsi="Arial (W1)" w:cs="David"/>
                <w:b/>
                <w:bCs/>
                <w:sz w:val="24"/>
                <w:szCs w:val="24"/>
                <w:rtl/>
              </w:rPr>
            </w:pPr>
          </w:p>
          <w:p w:rsidR="00F00262" w:rsidRPr="00F00262" w:rsidRDefault="00FD5673" w:rsidP="00F00262">
            <w:pPr>
              <w:rPr>
                <w:rFonts w:ascii="Arial (W1)" w:hAnsi="Arial (W1)" w:cs="David"/>
                <w:b/>
                <w:bCs/>
                <w:sz w:val="24"/>
                <w:szCs w:val="24"/>
              </w:rPr>
            </w:pPr>
            <w:sdt>
              <w:sdtPr>
                <w:rPr>
                  <w:rFonts w:cs="David" w:hint="cs"/>
                  <w:b/>
                  <w:bCs/>
                  <w:sz w:val="24"/>
                  <w:szCs w:val="24"/>
                  <w:rtl/>
                </w:rPr>
                <w:alias w:val="1478"/>
                <w:tag w:val="1478"/>
                <w:id w:val="160126198"/>
                <w:text w:multiLine="1"/>
              </w:sdtPr>
              <w:sdtEndPr/>
              <w:sdtContent>
                <w:r w:rsidR="00F00262" w:rsidRPr="00F00262">
                  <w:rPr>
                    <w:rFonts w:cs="David" w:hint="cs"/>
                    <w:b/>
                    <w:bCs/>
                    <w:sz w:val="24"/>
                    <w:szCs w:val="24"/>
                    <w:rtl/>
                  </w:rPr>
                  <w:t>משרד הרווחה והשירותים החברתיים</w:t>
                </w:r>
                <w:r w:rsidR="00F00262" w:rsidRPr="00F00262">
                  <w:rPr>
                    <w:rFonts w:cs="David"/>
                    <w:b/>
                    <w:bCs/>
                    <w:sz w:val="24"/>
                    <w:szCs w:val="24"/>
                    <w:rtl/>
                  </w:rPr>
                  <w:br/>
                </w:r>
                <w:r w:rsidR="00F00262" w:rsidRPr="00F00262">
                  <w:rPr>
                    <w:rFonts w:cs="David" w:hint="cs"/>
                    <w:b/>
                    <w:bCs/>
                    <w:sz w:val="24"/>
                    <w:szCs w:val="24"/>
                    <w:rtl/>
                  </w:rPr>
                  <w:t>ע"י ב"כ עו"ד  נטע נדיב</w:t>
                </w:r>
              </w:sdtContent>
            </w:sdt>
          </w:p>
        </w:tc>
      </w:tr>
      <w:tr w:rsidR="00F00262" w:rsidRPr="00F00262" w:rsidTr="00D37AE9">
        <w:trPr>
          <w:jc w:val="center"/>
        </w:trPr>
        <w:tc>
          <w:tcPr>
            <w:tcW w:w="8820" w:type="dxa"/>
            <w:gridSpan w:val="3"/>
          </w:tcPr>
          <w:p w:rsidR="00F00262" w:rsidRPr="00F00262" w:rsidRDefault="00F00262" w:rsidP="00F00262">
            <w:pPr>
              <w:rPr>
                <w:rFonts w:ascii="Arial (W1)" w:hAnsi="Arial (W1)" w:cs="David"/>
                <w:b/>
                <w:bCs/>
                <w:sz w:val="24"/>
                <w:szCs w:val="24"/>
                <w:rtl/>
              </w:rPr>
            </w:pPr>
          </w:p>
          <w:p w:rsidR="00F00262" w:rsidRPr="00F00262" w:rsidRDefault="00F00262" w:rsidP="00F00262">
            <w:pPr>
              <w:jc w:val="center"/>
              <w:rPr>
                <w:rFonts w:cs="David"/>
                <w:b/>
                <w:bCs/>
                <w:sz w:val="24"/>
                <w:szCs w:val="24"/>
                <w:rtl/>
              </w:rPr>
            </w:pPr>
            <w:r w:rsidRPr="00F00262">
              <w:rPr>
                <w:rFonts w:cs="David" w:hint="cs"/>
                <w:b/>
                <w:bCs/>
                <w:sz w:val="24"/>
                <w:szCs w:val="24"/>
                <w:rtl/>
              </w:rPr>
              <w:t>נגד</w:t>
            </w:r>
          </w:p>
          <w:p w:rsidR="00F00262" w:rsidRPr="00F00262" w:rsidRDefault="00F00262" w:rsidP="00F00262">
            <w:pPr>
              <w:rPr>
                <w:rFonts w:ascii="Arial (W1)" w:hAnsi="Arial (W1)" w:cs="David"/>
                <w:b/>
                <w:bCs/>
                <w:sz w:val="24"/>
                <w:szCs w:val="24"/>
              </w:rPr>
            </w:pPr>
          </w:p>
        </w:tc>
      </w:tr>
      <w:tr w:rsidR="00F00262" w:rsidRPr="00F00262" w:rsidTr="00D37AE9">
        <w:trPr>
          <w:jc w:val="center"/>
        </w:trPr>
        <w:tc>
          <w:tcPr>
            <w:tcW w:w="3249" w:type="dxa"/>
            <w:gridSpan w:val="2"/>
          </w:tcPr>
          <w:p w:rsidR="00F00262" w:rsidRPr="00F00262" w:rsidRDefault="00FD5673" w:rsidP="00F00262">
            <w:pPr>
              <w:rPr>
                <w:rFonts w:ascii="Arial (W1)" w:hAnsi="Arial (W1)" w:cs="David"/>
                <w:b/>
                <w:bCs/>
                <w:sz w:val="24"/>
                <w:szCs w:val="24"/>
              </w:rPr>
            </w:pPr>
            <w:sdt>
              <w:sdtPr>
                <w:rPr>
                  <w:rFonts w:cs="David" w:hint="cs"/>
                  <w:b/>
                  <w:bCs/>
                  <w:noProof/>
                  <w:sz w:val="24"/>
                  <w:szCs w:val="24"/>
                  <w:rtl/>
                </w:rPr>
                <w:alias w:val="1184"/>
                <w:tag w:val="1184"/>
                <w:id w:val="-910234160"/>
                <w:text w:multiLine="1"/>
              </w:sdtPr>
              <w:sdtEndPr/>
              <w:sdtContent>
                <w:r w:rsidR="00F00262" w:rsidRPr="00F00262">
                  <w:rPr>
                    <w:rFonts w:cs="David" w:hint="cs"/>
                    <w:b/>
                    <w:bCs/>
                    <w:noProof/>
                    <w:sz w:val="24"/>
                    <w:szCs w:val="24"/>
                    <w:rtl/>
                  </w:rPr>
                  <w:t>משיבים</w:t>
                </w:r>
              </w:sdtContent>
            </w:sdt>
          </w:p>
        </w:tc>
        <w:tc>
          <w:tcPr>
            <w:tcW w:w="5571" w:type="dxa"/>
          </w:tcPr>
          <w:p w:rsidR="00F00262" w:rsidRPr="00F00262" w:rsidRDefault="00CA4A66" w:rsidP="00CA4A66">
            <w:pPr>
              <w:rPr>
                <w:rFonts w:cs="David"/>
                <w:noProof/>
                <w:sz w:val="24"/>
                <w:szCs w:val="24"/>
                <w:rtl/>
              </w:rPr>
            </w:pPr>
            <w:r>
              <w:rPr>
                <w:rFonts w:cs="David" w:hint="cs"/>
                <w:b/>
                <w:bCs/>
                <w:noProof/>
                <w:sz w:val="24"/>
                <w:szCs w:val="24"/>
                <w:rtl/>
              </w:rPr>
              <w:t>פלונים</w:t>
            </w:r>
          </w:p>
          <w:p w:rsidR="00F00262" w:rsidRPr="00F00262" w:rsidRDefault="00F00262" w:rsidP="00F00262">
            <w:pPr>
              <w:rPr>
                <w:rFonts w:ascii="Arial (W1)" w:hAnsi="Arial (W1)" w:cs="David"/>
                <w:b/>
                <w:bCs/>
                <w:sz w:val="24"/>
                <w:szCs w:val="24"/>
              </w:rPr>
            </w:pPr>
            <w:r w:rsidRPr="00F00262">
              <w:rPr>
                <w:rFonts w:ascii="Arial" w:hAnsi="Arial" w:cs="David" w:hint="cs"/>
                <w:b/>
                <w:bCs/>
                <w:sz w:val="24"/>
                <w:szCs w:val="24"/>
                <w:rtl/>
              </w:rPr>
              <w:t>ע"</w:t>
            </w:r>
            <w:r w:rsidRPr="00F00262">
              <w:rPr>
                <w:rFonts w:ascii="Arial" w:hAnsi="Arial" w:cs="David"/>
                <w:b/>
                <w:bCs/>
                <w:sz w:val="24"/>
                <w:szCs w:val="24"/>
                <w:rtl/>
              </w:rPr>
              <w:t>י ב"כ עו"ד</w:t>
            </w:r>
            <w:r w:rsidRPr="00F00262">
              <w:rPr>
                <w:rFonts w:ascii="Arial" w:hAnsi="Arial" w:cs="David" w:hint="cs"/>
                <w:b/>
                <w:bCs/>
                <w:sz w:val="24"/>
                <w:szCs w:val="24"/>
                <w:rtl/>
              </w:rPr>
              <w:t xml:space="preserve"> תמיר טורגל</w:t>
            </w:r>
          </w:p>
        </w:tc>
      </w:tr>
      <w:tr w:rsidR="00F00262" w:rsidRPr="00F00262" w:rsidTr="00D37AE9">
        <w:trPr>
          <w:jc w:val="center"/>
        </w:trPr>
        <w:tc>
          <w:tcPr>
            <w:tcW w:w="8820" w:type="dxa"/>
            <w:gridSpan w:val="3"/>
          </w:tcPr>
          <w:p w:rsidR="00F00262" w:rsidRPr="00CA4A66" w:rsidRDefault="00F00262" w:rsidP="00F00262">
            <w:pPr>
              <w:rPr>
                <w:rFonts w:ascii="Arial (W1)" w:hAnsi="Arial (W1)" w:cs="David"/>
                <w:b/>
                <w:bCs/>
                <w:sz w:val="24"/>
                <w:szCs w:val="24"/>
                <w:rtl/>
              </w:rPr>
            </w:pPr>
          </w:p>
        </w:tc>
      </w:tr>
      <w:tr w:rsidR="00F00262" w:rsidRPr="00F00262" w:rsidTr="00D37AE9">
        <w:trPr>
          <w:jc w:val="center"/>
        </w:trPr>
        <w:tc>
          <w:tcPr>
            <w:tcW w:w="3249" w:type="dxa"/>
            <w:gridSpan w:val="2"/>
          </w:tcPr>
          <w:p w:rsidR="00F00262" w:rsidRPr="00F00262" w:rsidRDefault="00F00262" w:rsidP="00F00262">
            <w:pPr>
              <w:rPr>
                <w:rFonts w:ascii="David" w:eastAsia="David" w:hAnsi="David" w:cs="David"/>
                <w:b/>
                <w:bCs/>
                <w:sz w:val="24"/>
                <w:szCs w:val="24"/>
              </w:rPr>
            </w:pPr>
            <w:r w:rsidRPr="00F00262">
              <w:rPr>
                <w:rFonts w:ascii="David" w:eastAsia="David" w:hAnsi="David" w:cs="David"/>
                <w:b/>
                <w:bCs/>
                <w:sz w:val="24"/>
                <w:szCs w:val="24"/>
                <w:rtl/>
              </w:rPr>
              <w:t>בעניין הקטין (כבן 4)</w:t>
            </w:r>
          </w:p>
        </w:tc>
        <w:tc>
          <w:tcPr>
            <w:tcW w:w="5571" w:type="dxa"/>
          </w:tcPr>
          <w:p w:rsidR="00F00262" w:rsidRPr="00F00262" w:rsidRDefault="00F00262" w:rsidP="00F00262">
            <w:pPr>
              <w:rPr>
                <w:rFonts w:ascii="David" w:hAnsi="David" w:cs="David"/>
                <w:b/>
                <w:bCs/>
                <w:noProof/>
                <w:sz w:val="24"/>
                <w:szCs w:val="24"/>
              </w:rPr>
            </w:pPr>
            <w:r w:rsidRPr="00F00262">
              <w:rPr>
                <w:rFonts w:ascii="David" w:hAnsi="David" w:cs="David"/>
                <w:b/>
                <w:bCs/>
                <w:noProof/>
                <w:sz w:val="24"/>
                <w:szCs w:val="24"/>
                <w:rtl/>
              </w:rPr>
              <w:t>באמצעות אפוט' לדין עו"ד סיגליוריסטה עצמון</w:t>
            </w:r>
          </w:p>
        </w:tc>
      </w:tr>
    </w:tbl>
    <w:p w:rsidR="00F00262" w:rsidRPr="00F00262" w:rsidRDefault="00F00262" w:rsidP="00F00262">
      <w:pPr>
        <w:suppressLineNumbers/>
        <w:spacing w:after="0" w:line="240" w:lineRule="auto"/>
        <w:rPr>
          <w:rFonts w:ascii="Arial (W1)" w:eastAsia="Times New Roman" w:hAnsi="Arial (W1)" w:cs="David"/>
          <w:noProof/>
          <w:sz w:val="28"/>
          <w:szCs w:val="28"/>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0262" w:rsidRPr="00F00262" w:rsidTr="00D37AE9">
        <w:trPr>
          <w:jc w:val="center"/>
        </w:trPr>
        <w:tc>
          <w:tcPr>
            <w:tcW w:w="8820" w:type="dxa"/>
          </w:tcPr>
          <w:p w:rsidR="00F00262" w:rsidRDefault="00F00262" w:rsidP="00F00262">
            <w:pPr>
              <w:bidi w:val="0"/>
              <w:jc w:val="center"/>
              <w:rPr>
                <w:rFonts w:ascii="Arial" w:hAnsi="Arial" w:cs="David"/>
                <w:b/>
                <w:bCs/>
                <w:sz w:val="28"/>
                <w:szCs w:val="28"/>
                <w:u w:val="single"/>
              </w:rPr>
            </w:pPr>
            <w:r w:rsidRPr="00F00262">
              <w:rPr>
                <w:rFonts w:ascii="Arial" w:hAnsi="Arial" w:cs="David"/>
                <w:b/>
                <w:bCs/>
                <w:sz w:val="28"/>
                <w:szCs w:val="28"/>
                <w:u w:val="single"/>
                <w:rtl/>
              </w:rPr>
              <w:t>פסק דין</w:t>
            </w:r>
          </w:p>
          <w:p w:rsidR="00F00262" w:rsidRPr="00F00262" w:rsidRDefault="00F00262" w:rsidP="00F00262">
            <w:pPr>
              <w:bidi w:val="0"/>
              <w:jc w:val="center"/>
              <w:rPr>
                <w:rFonts w:ascii="Arial" w:hAnsi="Arial" w:cs="David"/>
                <w:b/>
                <w:bCs/>
                <w:sz w:val="28"/>
                <w:szCs w:val="28"/>
                <w:u w:val="single"/>
              </w:rPr>
            </w:pPr>
          </w:p>
        </w:tc>
      </w:tr>
    </w:tbl>
    <w:p w:rsidR="00F00262" w:rsidRPr="00F00262" w:rsidRDefault="00F00262" w:rsidP="00F00262">
      <w:pPr>
        <w:numPr>
          <w:ilvl w:val="0"/>
          <w:numId w:val="1"/>
        </w:numPr>
        <w:spacing w:after="0" w:line="360" w:lineRule="auto"/>
        <w:ind w:left="566" w:hanging="42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לפני בקשת ב"כ היועמ"ש ברווחה כי בימ"ש יעשה שימוש בסמכותו על פי סעיף 68(ב) ל</w:t>
      </w:r>
      <w:r w:rsidRPr="00F00262">
        <w:rPr>
          <w:rFonts w:ascii="Arial" w:eastAsia="Times New Roman" w:hAnsi="Arial" w:cs="David" w:hint="cs"/>
          <w:sz w:val="24"/>
          <w:szCs w:val="24"/>
          <w:u w:val="single"/>
          <w:rtl/>
        </w:rPr>
        <w:t>חוק הכשרות המשפטית והאפוטרופסות</w:t>
      </w:r>
      <w:r w:rsidRPr="00F00262">
        <w:rPr>
          <w:rFonts w:ascii="Arial" w:eastAsia="Times New Roman" w:hAnsi="Arial" w:cs="David" w:hint="cs"/>
          <w:sz w:val="24"/>
          <w:szCs w:val="24"/>
          <w:rtl/>
        </w:rPr>
        <w:t>, השתכ"ב-1962, ויורה על מתן חיסון טטנוס לקטין שנחבל ביום 27.06.24 באופן מיידי, לצורך שמירה על שלומו הגופני ומניעת סכנה לחייו, בנסיבות בהן ההורים מתנגדים למתן החיסון.</w:t>
      </w:r>
    </w:p>
    <w:p w:rsidR="00F00262" w:rsidRPr="00F00262" w:rsidRDefault="00F00262" w:rsidP="00F00262">
      <w:pPr>
        <w:spacing w:after="0" w:line="360" w:lineRule="auto"/>
        <w:ind w:left="566"/>
        <w:contextualSpacing/>
        <w:jc w:val="both"/>
        <w:rPr>
          <w:rFonts w:ascii="Arial" w:eastAsia="Times New Roman" w:hAnsi="Arial" w:cs="David"/>
          <w:sz w:val="24"/>
          <w:szCs w:val="24"/>
        </w:rPr>
      </w:pPr>
      <w:r w:rsidRPr="00F00262">
        <w:rPr>
          <w:rFonts w:ascii="Arial" w:eastAsia="Times New Roman" w:hAnsi="Arial" w:cs="David" w:hint="cs"/>
          <w:sz w:val="24"/>
          <w:szCs w:val="24"/>
          <w:rtl/>
        </w:rPr>
        <w:t>הבקשה הומצאה להורים הבוקר סמוך לאחר הגשתה כעולה מהנטען בדיון.</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p>
    <w:p w:rsidR="00F00262" w:rsidRPr="00F00262" w:rsidRDefault="00F00262" w:rsidP="00F00262">
      <w:pPr>
        <w:numPr>
          <w:ilvl w:val="0"/>
          <w:numId w:val="1"/>
        </w:numPr>
        <w:spacing w:after="0" w:line="360" w:lineRule="auto"/>
        <w:ind w:left="566" w:hanging="426"/>
        <w:contextualSpacing/>
        <w:jc w:val="both"/>
        <w:rPr>
          <w:rFonts w:ascii="Arial" w:eastAsia="Times New Roman" w:hAnsi="Arial" w:cs="David"/>
          <w:sz w:val="24"/>
          <w:szCs w:val="24"/>
          <w:rtl/>
        </w:rPr>
      </w:pPr>
      <w:r w:rsidRPr="00F00262">
        <w:rPr>
          <w:rFonts w:ascii="Arial" w:eastAsia="Times New Roman" w:hAnsi="Arial" w:cs="David" w:hint="cs"/>
          <w:sz w:val="24"/>
          <w:szCs w:val="24"/>
          <w:u w:val="single"/>
          <w:rtl/>
        </w:rPr>
        <w:t>דיונית</w:t>
      </w:r>
      <w:r w:rsidRPr="00F00262">
        <w:rPr>
          <w:rFonts w:ascii="Arial" w:eastAsia="Times New Roman" w:hAnsi="Arial" w:cs="David" w:hint="cs"/>
          <w:sz w:val="24"/>
          <w:szCs w:val="24"/>
          <w:rtl/>
        </w:rPr>
        <w:t xml:space="preserve"> –</w:t>
      </w:r>
    </w:p>
    <w:p w:rsidR="00F00262" w:rsidRPr="00F00262" w:rsidRDefault="00F00262" w:rsidP="00F00262">
      <w:pPr>
        <w:spacing w:after="0" w:line="360" w:lineRule="auto"/>
        <w:ind w:left="566"/>
        <w:contextualSpacing/>
        <w:jc w:val="both"/>
        <w:rPr>
          <w:rFonts w:ascii="Arial" w:eastAsia="Times New Roman" w:hAnsi="Arial" w:cs="David"/>
          <w:sz w:val="24"/>
          <w:szCs w:val="24"/>
        </w:rPr>
      </w:pPr>
      <w:r w:rsidRPr="00F00262">
        <w:rPr>
          <w:rFonts w:ascii="Arial" w:eastAsia="Times New Roman" w:hAnsi="Arial" w:cs="David" w:hint="cs"/>
          <w:sz w:val="24"/>
          <w:szCs w:val="24"/>
          <w:rtl/>
        </w:rPr>
        <w:t>עם קבלת הבקשה היום, נקבע מועד דיון במעמד הצדדים לרבות ההורים בשעה 14:00. מונתה לקטין אפוטרופסה לדין ונקבע כי אף היא תתייצב לדיון.</w:t>
      </w:r>
    </w:p>
    <w:p w:rsidR="00F00262" w:rsidRPr="00F00262" w:rsidRDefault="00F00262" w:rsidP="00F00262">
      <w:pPr>
        <w:spacing w:after="0" w:line="360" w:lineRule="auto"/>
        <w:ind w:left="566"/>
        <w:contextualSpacing/>
        <w:jc w:val="both"/>
        <w:rPr>
          <w:rFonts w:ascii="Arial" w:eastAsia="Times New Roman" w:hAnsi="Arial" w:cs="David"/>
          <w:sz w:val="24"/>
          <w:szCs w:val="24"/>
        </w:rPr>
      </w:pPr>
      <w:r w:rsidRPr="00F00262">
        <w:rPr>
          <w:rFonts w:ascii="Arial" w:eastAsia="Times New Roman" w:hAnsi="Arial" w:cs="David" w:hint="cs"/>
          <w:sz w:val="24"/>
          <w:szCs w:val="24"/>
          <w:rtl/>
        </w:rPr>
        <w:t xml:space="preserve">בשיחה טלפונית של מזכירת בימ"ש עם ההורים אשר ביקשה ליידע אותם בדבר ההחלטה, נאמר לה על ידי ההורים כי נמצאים בחופשה בדרום. לא מסרו היכן. </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על מנת לאפשר להורים להתייצב לדיון שעניינו בחינת טובתם של בנם, ולבימ"ש לשמוע את ההורים באופן בלתי אמצעי, נדחה הדיון לשעה 16:00.</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הוגשה בקשה מטעם ב"כ ההורים כי הדיון יתקיים בשעה 14:00 באמצעות היוועדות חזותית, ובימ"ש נעתר לבקשה.</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ב"כ ההורים טען בהיוועדות חזותית כמבוקש, ההורים לא התייצבו לדיון באופן זה.</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התשובה כי הם סוברניים להחליט את החלטותיהם, אינה נותנת מענה ענייני למחדלם מלהתייצב לדיון.</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על פניו לא היתה כל מניעה, ואף מצופה היה כי יתייצבו פיזית לדיון ששעתו נדחתה לצורך התייצבותם, לכל הפחות באמצעות היוועדות חזותית בדרך כזו או אחרת ככל שיבחרו.</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התרשמות בימ"ש כי ההורים בחרו שלא להתייצב לדיון, ויש להצר על כך.</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לא הוגשה תגובת ההורים בכתב עד הדיון.</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t>כל שהוגש טרם הדיון הנו נייר עמדה שנערך על ידי ב"כ ההורים בחודש אפריל 2024, לצורך הליך אחר.</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r w:rsidRPr="00F00262">
        <w:rPr>
          <w:rFonts w:ascii="Arial" w:eastAsia="Times New Roman" w:hAnsi="Arial" w:cs="David" w:hint="cs"/>
          <w:sz w:val="24"/>
          <w:szCs w:val="24"/>
          <w:rtl/>
        </w:rPr>
        <w:lastRenderedPageBreak/>
        <w:t>בדיון, אשר התקיים במשך כשעה וחצי, נשמעו טענות המבקשת ב"כ היועמ"ש ברווחה, חוות דעתה הרפואית של ד"ר שבירו-רוזמן רופאת נפת</w:t>
      </w:r>
      <w:r>
        <w:rPr>
          <w:rFonts w:ascii="Arial" w:eastAsia="Times New Roman" w:hAnsi="Arial" w:cs="David" w:hint="cs"/>
          <w:sz w:val="24"/>
          <w:szCs w:val="24"/>
          <w:rtl/>
        </w:rPr>
        <w:t xml:space="preserve"> ... </w:t>
      </w:r>
      <w:r w:rsidRPr="00F00262">
        <w:rPr>
          <w:rFonts w:ascii="Arial" w:eastAsia="Times New Roman" w:hAnsi="Arial" w:cs="David" w:hint="cs"/>
          <w:sz w:val="24"/>
          <w:szCs w:val="24"/>
          <w:rtl/>
        </w:rPr>
        <w:t>במשרד הבריאות, עו"ס אתי סומך מנהלת אגף הרווחה ב</w:t>
      </w:r>
      <w:r>
        <w:rPr>
          <w:rFonts w:ascii="Arial" w:eastAsia="Times New Roman" w:hAnsi="Arial" w:cs="David" w:hint="cs"/>
          <w:sz w:val="24"/>
          <w:szCs w:val="24"/>
          <w:rtl/>
        </w:rPr>
        <w:t xml:space="preserve">... </w:t>
      </w:r>
      <w:r w:rsidRPr="00F00262">
        <w:rPr>
          <w:rFonts w:ascii="Arial" w:eastAsia="Times New Roman" w:hAnsi="Arial" w:cs="David" w:hint="cs"/>
          <w:sz w:val="24"/>
          <w:szCs w:val="24"/>
          <w:rtl/>
        </w:rPr>
        <w:t>עו"ד ביטון מלשכת הבריאות, ב"כ ההורים ועמדת האפוטרופסה לדין שמונתה לקטין.</w:t>
      </w:r>
    </w:p>
    <w:p w:rsidR="00F00262" w:rsidRPr="00F00262" w:rsidRDefault="00F00262" w:rsidP="00F00262">
      <w:pPr>
        <w:spacing w:after="0" w:line="360" w:lineRule="auto"/>
        <w:ind w:left="566"/>
        <w:contextualSpacing/>
        <w:jc w:val="both"/>
        <w:rPr>
          <w:rFonts w:ascii="Arial" w:eastAsia="Times New Roman" w:hAnsi="Arial" w:cs="David"/>
          <w:sz w:val="24"/>
          <w:szCs w:val="24"/>
          <w:rtl/>
        </w:rPr>
      </w:pPr>
    </w:p>
    <w:p w:rsidR="00F00262" w:rsidRPr="00F00262" w:rsidRDefault="00F00262" w:rsidP="00F00262">
      <w:pPr>
        <w:numPr>
          <w:ilvl w:val="0"/>
          <w:numId w:val="1"/>
        </w:numPr>
        <w:spacing w:after="0" w:line="360" w:lineRule="auto"/>
        <w:ind w:left="566" w:hanging="426"/>
        <w:contextualSpacing/>
        <w:jc w:val="both"/>
        <w:rPr>
          <w:rFonts w:ascii="Arial" w:eastAsia="Times New Roman" w:hAnsi="Arial" w:cs="David"/>
          <w:sz w:val="24"/>
          <w:szCs w:val="24"/>
          <w:rtl/>
        </w:rPr>
      </w:pPr>
      <w:r w:rsidRPr="00F00262">
        <w:rPr>
          <w:rFonts w:ascii="Arial" w:eastAsia="Times New Roman" w:hAnsi="Arial" w:cs="David" w:hint="cs"/>
          <w:sz w:val="24"/>
          <w:szCs w:val="24"/>
          <w:u w:val="single"/>
          <w:rtl/>
        </w:rPr>
        <w:t>לגופו של עניין</w:t>
      </w:r>
      <w:r w:rsidRPr="00F00262">
        <w:rPr>
          <w:rFonts w:ascii="Arial" w:eastAsia="Times New Roman" w:hAnsi="Arial" w:cs="David" w:hint="cs"/>
          <w:sz w:val="24"/>
          <w:szCs w:val="24"/>
          <w:rtl/>
        </w:rPr>
        <w:t xml:space="preserve"> יאמר כבר וינומק בהמשך, לאחר שנדרשתי לבקשה והמצורף לה, לעמדת ב"כ המשיבים, לכלל החומר שהוגש בתיק ולאחר שמיעת הטענות בדיון היום – אני נעתרת לבקשה.</w:t>
      </w:r>
    </w:p>
    <w:p w:rsidR="00F00262" w:rsidRPr="00F00262" w:rsidRDefault="00F00262" w:rsidP="00F00262">
      <w:pPr>
        <w:spacing w:after="0" w:line="360" w:lineRule="auto"/>
        <w:ind w:left="566"/>
        <w:contextualSpacing/>
        <w:jc w:val="both"/>
        <w:rPr>
          <w:rFonts w:ascii="Arial" w:eastAsia="Times New Roman" w:hAnsi="Arial" w:cs="David"/>
          <w:sz w:val="24"/>
          <w:szCs w:val="24"/>
        </w:rPr>
      </w:pPr>
    </w:p>
    <w:p w:rsidR="00F00262" w:rsidRPr="00F00262" w:rsidRDefault="00F00262" w:rsidP="00F00262">
      <w:pPr>
        <w:numPr>
          <w:ilvl w:val="0"/>
          <w:numId w:val="1"/>
        </w:numPr>
        <w:spacing w:after="0" w:line="360" w:lineRule="auto"/>
        <w:ind w:left="566" w:hanging="426"/>
        <w:contextualSpacing/>
        <w:jc w:val="both"/>
        <w:rPr>
          <w:rFonts w:ascii="Arial" w:eastAsia="Times New Roman" w:hAnsi="Arial" w:cs="David"/>
          <w:sz w:val="24"/>
          <w:szCs w:val="24"/>
        </w:rPr>
      </w:pPr>
      <w:r w:rsidRPr="00F00262">
        <w:rPr>
          <w:rFonts w:ascii="Arial" w:eastAsia="Times New Roman" w:hAnsi="Arial" w:cs="David" w:hint="cs"/>
          <w:b/>
          <w:bCs/>
          <w:sz w:val="24"/>
          <w:szCs w:val="24"/>
          <w:rtl/>
        </w:rPr>
        <w:t>מהבקשה והמצורף לה עולה</w:t>
      </w:r>
      <w:r w:rsidRPr="00F00262">
        <w:rPr>
          <w:rFonts w:ascii="Arial" w:eastAsia="Times New Roman" w:hAnsi="Arial" w:cs="David" w:hint="cs"/>
          <w:sz w:val="24"/>
          <w:szCs w:val="24"/>
          <w:rtl/>
        </w:rPr>
        <w:t xml:space="preserve"> –</w:t>
      </w:r>
    </w:p>
    <w:p w:rsidR="00F00262" w:rsidRPr="00F00262" w:rsidRDefault="00F00262" w:rsidP="00F00262">
      <w:pPr>
        <w:spacing w:after="0" w:line="360" w:lineRule="auto"/>
        <w:ind w:left="566"/>
        <w:contextualSpacing/>
        <w:jc w:val="both"/>
        <w:rPr>
          <w:rFonts w:ascii="Arial" w:eastAsia="Times New Roman" w:hAnsi="Arial" w:cs="David"/>
          <w:sz w:val="24"/>
          <w:szCs w:val="24"/>
        </w:rPr>
      </w:pPr>
      <w:r w:rsidRPr="00F00262">
        <w:rPr>
          <w:rFonts w:ascii="Arial" w:eastAsia="Times New Roman" w:hAnsi="Arial" w:cs="David" w:hint="cs"/>
          <w:sz w:val="24"/>
          <w:szCs w:val="24"/>
          <w:rtl/>
        </w:rPr>
        <w:t>הקטין יליד</w:t>
      </w:r>
      <w:r>
        <w:rPr>
          <w:rFonts w:ascii="Arial" w:eastAsia="Times New Roman" w:hAnsi="Arial" w:cs="David" w:hint="cs"/>
          <w:sz w:val="24"/>
          <w:szCs w:val="24"/>
          <w:rtl/>
        </w:rPr>
        <w:t xml:space="preserve"> ... </w:t>
      </w:r>
      <w:r w:rsidRPr="00F00262">
        <w:rPr>
          <w:rFonts w:ascii="Arial" w:eastAsia="Times New Roman" w:hAnsi="Arial" w:cs="David" w:hint="cs"/>
          <w:sz w:val="24"/>
          <w:szCs w:val="24"/>
          <w:rtl/>
        </w:rPr>
        <w:t>(כבן 4 שנים); אינו מחוסן בחיסוני השגרה בניגוד להמלצות משרד הבריאות, לרבות אינו מחוסן בחיסון טטנוס</w:t>
      </w:r>
      <w:r>
        <w:rPr>
          <w:rFonts w:ascii="Arial" w:eastAsia="Times New Roman" w:hAnsi="Arial" w:cs="David" w:hint="cs"/>
          <w:sz w:val="24"/>
          <w:szCs w:val="24"/>
          <w:rtl/>
        </w:rPr>
        <w:t>.</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 xml:space="preserve">ביום </w:t>
      </w:r>
      <w:r w:rsidRPr="00F00262">
        <w:rPr>
          <w:rFonts w:ascii="Arial" w:eastAsia="Times New Roman" w:hAnsi="Arial" w:cs="David" w:hint="cs"/>
          <w:sz w:val="24"/>
          <w:szCs w:val="24"/>
          <w:u w:val="single"/>
          <w:rtl/>
        </w:rPr>
        <w:t>27.06.24</w:t>
      </w:r>
      <w:r w:rsidRPr="00F00262">
        <w:rPr>
          <w:rFonts w:ascii="Arial" w:eastAsia="Times New Roman" w:hAnsi="Arial" w:cs="David" w:hint="cs"/>
          <w:sz w:val="24"/>
          <w:szCs w:val="24"/>
          <w:rtl/>
        </w:rPr>
        <w:t xml:space="preserve"> הקטין נפל מגובה 3 מ' עקב טיפוס על מגלשה גבוהה, נחבל ונפצע כשהוא נבלם על ידי מתקן חבלים בנפילתו. הוא הובא לטיפול במרכז לרפואה דחופה בבית החולים "שיבא" בתל השומר, שם הומלץ על חיסון טטנוס לקטין. </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 xml:space="preserve">בבית החולים הוסבר לאם על הסיבוכים העלולים להיגרם בהעדר החיסון והצוות הרפואי התרשם מהבנתה את ההסברים. </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 xml:space="preserve">ביום </w:t>
      </w:r>
      <w:r w:rsidRPr="00F00262">
        <w:rPr>
          <w:rFonts w:ascii="Arial" w:eastAsia="Times New Roman" w:hAnsi="Arial" w:cs="David" w:hint="cs"/>
          <w:sz w:val="24"/>
          <w:szCs w:val="24"/>
          <w:u w:val="single"/>
          <w:rtl/>
        </w:rPr>
        <w:t>02.07.24</w:t>
      </w:r>
      <w:r w:rsidRPr="00F00262">
        <w:rPr>
          <w:rFonts w:ascii="Arial" w:eastAsia="Times New Roman" w:hAnsi="Arial" w:cs="David" w:hint="cs"/>
          <w:sz w:val="24"/>
          <w:szCs w:val="24"/>
          <w:rtl/>
        </w:rPr>
        <w:t xml:space="preserve"> התקבל דיווח מהמחלקה לשירותים חברתיים ב</w:t>
      </w:r>
      <w:r>
        <w:rPr>
          <w:rFonts w:ascii="Arial" w:eastAsia="Times New Roman" w:hAnsi="Arial" w:cs="David" w:hint="cs"/>
          <w:sz w:val="24"/>
          <w:szCs w:val="24"/>
          <w:rtl/>
        </w:rPr>
        <w:t xml:space="preserve">... </w:t>
      </w:r>
      <w:r w:rsidRPr="00F00262">
        <w:rPr>
          <w:rFonts w:ascii="Arial" w:eastAsia="Times New Roman" w:hAnsi="Arial" w:cs="David" w:hint="cs"/>
          <w:sz w:val="24"/>
          <w:szCs w:val="24"/>
          <w:rtl/>
        </w:rPr>
        <w:t xml:space="preserve">בעניין </w:t>
      </w:r>
      <w:r w:rsidRPr="00F00262">
        <w:rPr>
          <w:rFonts w:ascii="Arial" w:eastAsia="Times New Roman" w:hAnsi="Arial" w:cs="David" w:hint="cs"/>
          <w:b/>
          <w:bCs/>
          <w:sz w:val="24"/>
          <w:szCs w:val="24"/>
          <w:rtl/>
        </w:rPr>
        <w:t>סירוב האם לחסן את הקטין</w:t>
      </w:r>
      <w:r w:rsidRPr="00F00262">
        <w:rPr>
          <w:rFonts w:ascii="Arial" w:eastAsia="Times New Roman" w:hAnsi="Arial" w:cs="David" w:hint="cs"/>
          <w:sz w:val="24"/>
          <w:szCs w:val="24"/>
          <w:rtl/>
        </w:rPr>
        <w:t xml:space="preserve"> חרף הפגיעה בו.</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ניסיונות צוות הרווחה ליצור קשר עם ההורים באותו היום לא הצליחו בהעדר מענה מצדם.</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 xml:space="preserve">התקיימה שיחה עם סבתו של הקטין מצד האב, ללא הועיל. מאוחר יותר גם לא היה מענה בטלפון של הסבתא. </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 xml:space="preserve">ביום </w:t>
      </w:r>
      <w:r w:rsidRPr="00F00262">
        <w:rPr>
          <w:rFonts w:ascii="Arial" w:eastAsia="Times New Roman" w:hAnsi="Arial" w:cs="David" w:hint="cs"/>
          <w:sz w:val="24"/>
          <w:szCs w:val="24"/>
          <w:u w:val="single"/>
          <w:rtl/>
        </w:rPr>
        <w:t>03.07.24</w:t>
      </w:r>
      <w:r w:rsidRPr="00F00262">
        <w:rPr>
          <w:rFonts w:ascii="Arial" w:eastAsia="Times New Roman" w:hAnsi="Arial" w:cs="David" w:hint="cs"/>
          <w:sz w:val="24"/>
          <w:szCs w:val="24"/>
          <w:rtl/>
        </w:rPr>
        <w:t xml:space="preserve"> התקיימו שיחות נוספות עם האב, עם ב"כ עו"ד טורגל ועם רופאת נפת </w:t>
      </w:r>
      <w:r>
        <w:rPr>
          <w:rFonts w:ascii="Arial" w:eastAsia="Times New Roman" w:hAnsi="Arial" w:cs="David" w:hint="cs"/>
          <w:sz w:val="24"/>
          <w:szCs w:val="24"/>
          <w:rtl/>
        </w:rPr>
        <w:t xml:space="preserve">... </w:t>
      </w:r>
      <w:r w:rsidRPr="00F00262">
        <w:rPr>
          <w:rFonts w:ascii="Arial" w:eastAsia="Times New Roman" w:hAnsi="Arial" w:cs="David" w:hint="cs"/>
          <w:sz w:val="24"/>
          <w:szCs w:val="24"/>
          <w:rtl/>
        </w:rPr>
        <w:t>במשרד הבריאות ד"ר אלה קוזקוב. האב הודיע כי מתנגד לחיסון.</w:t>
      </w:r>
      <w:r w:rsidRPr="00F00262">
        <w:rPr>
          <w:rFonts w:ascii="Arial" w:eastAsia="Times New Roman" w:hAnsi="Arial" w:cs="David" w:hint="cs"/>
          <w:b/>
          <w:bCs/>
          <w:sz w:val="24"/>
          <w:szCs w:val="24"/>
          <w:rtl/>
        </w:rPr>
        <w:t xml:space="preserve"> </w:t>
      </w:r>
      <w:r w:rsidRPr="00F00262">
        <w:rPr>
          <w:rFonts w:ascii="Arial" w:eastAsia="Times New Roman" w:hAnsi="Arial" w:cs="David" w:hint="cs"/>
          <w:sz w:val="24"/>
          <w:szCs w:val="24"/>
          <w:rtl/>
        </w:rPr>
        <w:t xml:space="preserve">ההורים מתנגדים לחיסון הקטין בשל חשש מפני תופעות לוואי נטענות של החיסון ואי רלוונטיות שלו בעיניהם. </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 xml:space="preserve">בנסיבות אלו הוגשה ביום </w:t>
      </w:r>
      <w:r w:rsidRPr="00F00262">
        <w:rPr>
          <w:rFonts w:ascii="Arial" w:eastAsia="Times New Roman" w:hAnsi="Arial" w:cs="David" w:hint="cs"/>
          <w:sz w:val="24"/>
          <w:szCs w:val="24"/>
          <w:u w:val="single"/>
          <w:rtl/>
        </w:rPr>
        <w:t>04.07.24</w:t>
      </w:r>
      <w:r w:rsidRPr="00F00262">
        <w:rPr>
          <w:rFonts w:ascii="Arial" w:eastAsia="Times New Roman" w:hAnsi="Arial" w:cs="David" w:hint="cs"/>
          <w:sz w:val="24"/>
          <w:szCs w:val="24"/>
          <w:rtl/>
        </w:rPr>
        <w:t xml:space="preserve"> הבקשה שלפני, אשר נסמכת על חוות דעת רפואית מאת ד"ר נועה שבירו רוזמן, רופאת נפת </w:t>
      </w:r>
      <w:r>
        <w:rPr>
          <w:rFonts w:ascii="Arial" w:eastAsia="Times New Roman" w:hAnsi="Arial" w:cs="David" w:hint="cs"/>
          <w:sz w:val="24"/>
          <w:szCs w:val="24"/>
          <w:rtl/>
        </w:rPr>
        <w:t>...</w:t>
      </w:r>
      <w:r w:rsidRPr="00F00262">
        <w:rPr>
          <w:rFonts w:ascii="Arial" w:eastAsia="Times New Roman" w:hAnsi="Arial" w:cs="David" w:hint="cs"/>
          <w:sz w:val="24"/>
          <w:szCs w:val="24"/>
          <w:rtl/>
        </w:rPr>
        <w:t xml:space="preserve"> ממשרד הבריאות מיום </w:t>
      </w:r>
      <w:r w:rsidRPr="00F00262">
        <w:rPr>
          <w:rFonts w:ascii="Arial" w:eastAsia="Times New Roman" w:hAnsi="Arial" w:cs="David" w:hint="cs"/>
          <w:sz w:val="24"/>
          <w:szCs w:val="24"/>
          <w:u w:val="single"/>
          <w:rtl/>
        </w:rPr>
        <w:t>03.07.24</w:t>
      </w:r>
      <w:r w:rsidRPr="00F00262">
        <w:rPr>
          <w:rFonts w:ascii="Arial" w:eastAsia="Times New Roman" w:hAnsi="Arial" w:cs="David" w:hint="cs"/>
          <w:sz w:val="24"/>
          <w:szCs w:val="24"/>
          <w:rtl/>
        </w:rPr>
        <w:t>.</w:t>
      </w:r>
    </w:p>
    <w:p w:rsidR="00F00262" w:rsidRPr="00F00262" w:rsidRDefault="00F00262" w:rsidP="00F00262">
      <w:pPr>
        <w:spacing w:after="0" w:line="360" w:lineRule="auto"/>
        <w:ind w:left="566" w:hanging="426"/>
        <w:jc w:val="both"/>
        <w:rPr>
          <w:rFonts w:ascii="Arial" w:eastAsia="Times New Roman" w:hAnsi="Arial" w:cs="David"/>
          <w:sz w:val="24"/>
          <w:szCs w:val="24"/>
          <w:rtl/>
        </w:rPr>
      </w:pPr>
      <w:r w:rsidRPr="00F00262">
        <w:rPr>
          <w:rFonts w:ascii="Arial" w:eastAsia="Times New Roman" w:hAnsi="Arial" w:cs="David" w:hint="cs"/>
          <w:sz w:val="24"/>
          <w:szCs w:val="24"/>
          <w:rtl/>
        </w:rPr>
        <w:tab/>
        <w:t>עמדת ב"כ היועמ"ש הנה כי בנסיבות בהן הפגיעה התרחשה ביום 27.06.24. כיום, היום השישי מאז הפגיעה ובהתאם לחוות הדעת הרפואית מוטב כי החיסון יינתן לקטין בסמיכות לפגיעה ומוקדם ככל הניתן. נשקף סיכון לשלומו ולחייו של הקטין שאינו מחוסן בחיסוני שגרה ובהעדר כל טעם מיוחד שלא לבצע את החיסון הנדרש על פי הנחיות משרד הבריאות.</w:t>
      </w:r>
    </w:p>
    <w:p w:rsidR="00F00262" w:rsidRDefault="00F00262" w:rsidP="00F00262">
      <w:pPr>
        <w:spacing w:after="0" w:line="360" w:lineRule="auto"/>
        <w:ind w:left="566" w:hanging="426"/>
        <w:jc w:val="both"/>
        <w:rPr>
          <w:rFonts w:ascii="Arial" w:eastAsia="Times New Roman" w:hAnsi="Arial" w:cs="David"/>
          <w:sz w:val="24"/>
          <w:szCs w:val="24"/>
          <w:rtl/>
        </w:rPr>
      </w:pPr>
    </w:p>
    <w:p w:rsidR="00F00262" w:rsidRPr="00F00262" w:rsidRDefault="00F00262" w:rsidP="00F00262">
      <w:pPr>
        <w:spacing w:after="0" w:line="360" w:lineRule="auto"/>
        <w:ind w:left="566" w:hanging="426"/>
        <w:jc w:val="both"/>
        <w:rPr>
          <w:rFonts w:ascii="Arial" w:eastAsia="Times New Roman" w:hAnsi="Arial" w:cs="David"/>
          <w:sz w:val="24"/>
          <w:szCs w:val="24"/>
          <w:rtl/>
        </w:rPr>
      </w:pPr>
      <w:r w:rsidRPr="00F00262">
        <w:rPr>
          <w:rFonts w:ascii="Arial" w:eastAsia="Times New Roman" w:hAnsi="Arial" w:cs="David" w:hint="cs"/>
          <w:sz w:val="24"/>
          <w:szCs w:val="24"/>
          <w:rtl/>
        </w:rPr>
        <w:t>5.</w:t>
      </w:r>
      <w:r w:rsidRPr="00F00262">
        <w:rPr>
          <w:rFonts w:ascii="Arial" w:eastAsia="Times New Roman" w:hAnsi="Arial" w:cs="David" w:hint="cs"/>
          <w:sz w:val="24"/>
          <w:szCs w:val="24"/>
          <w:rtl/>
        </w:rPr>
        <w:tab/>
      </w:r>
      <w:r w:rsidRPr="00F00262">
        <w:rPr>
          <w:rFonts w:ascii="Arial" w:eastAsia="Times New Roman" w:hAnsi="Arial" w:cs="David" w:hint="cs"/>
          <w:b/>
          <w:bCs/>
          <w:sz w:val="24"/>
          <w:szCs w:val="24"/>
          <w:rtl/>
        </w:rPr>
        <w:t>עמדת גורמי הטיפול הרפואיים המקצועיים בעניין הקטין</w:t>
      </w:r>
      <w:r w:rsidRPr="00F00262">
        <w:rPr>
          <w:rFonts w:ascii="Arial" w:eastAsia="Times New Roman" w:hAnsi="Arial" w:cs="David" w:hint="cs"/>
          <w:sz w:val="24"/>
          <w:szCs w:val="24"/>
          <w:rtl/>
        </w:rPr>
        <w:t xml:space="preserve"> - </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בסיכום ביקור במחלקה לרפואה דחופה במיון ילדים בבית החולים "שיבא" מיום 27.06.24</w:t>
      </w:r>
      <w:r w:rsidRPr="00F00262">
        <w:rPr>
          <w:rFonts w:ascii="Arial" w:eastAsia="Times New Roman" w:hAnsi="Arial" w:cs="David" w:hint="cs"/>
          <w:b/>
          <w:bCs/>
          <w:sz w:val="24"/>
          <w:szCs w:val="24"/>
          <w:u w:val="single"/>
          <w:rtl/>
        </w:rPr>
        <w:t xml:space="preserve"> </w:t>
      </w:r>
      <w:r w:rsidRPr="00F00262">
        <w:rPr>
          <w:rFonts w:ascii="Arial" w:eastAsia="Times New Roman" w:hAnsi="Arial" w:cs="David" w:hint="cs"/>
          <w:sz w:val="24"/>
          <w:szCs w:val="24"/>
          <w:rtl/>
        </w:rPr>
        <w:t xml:space="preserve">נכתב, כי הקטין בריא ואינו מחוסן. הקטין הלין על כאב בצד ימין בפנים. קיים שטף דם עם חתך קטן לצד עין ימין. מעבר לכך, ללא חבלות נוספות נראות לעין. </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 xml:space="preserve">התקבל למלר"ד ילדים במצב כללי טוב. </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lastRenderedPageBreak/>
        <w:t>הוסבר להורים על ידי רופא המחלקה ורופא בכיר הצורך במתן חיסון סביל ופעיל לטטנוס בשל סטטוס חיסוני ובשל פצע מלוכלך וכי זיהום בטטנוס יכול לסכן חיים בשל פגיעה בשרירים ובעצבים. המלצת הצוות הרפואי להשלמת חיסוני טטנוס סביל ופעיל.</w:t>
      </w:r>
    </w:p>
    <w:p w:rsidR="00F00262" w:rsidRPr="00F00262" w:rsidRDefault="00F00262" w:rsidP="00F00262">
      <w:pPr>
        <w:spacing w:after="0" w:line="360" w:lineRule="auto"/>
        <w:ind w:left="566"/>
        <w:jc w:val="both"/>
        <w:rPr>
          <w:rFonts w:ascii="Arial" w:eastAsia="Times New Roman" w:hAnsi="Arial" w:cs="David"/>
          <w:sz w:val="24"/>
          <w:szCs w:val="24"/>
          <w:rtl/>
        </w:rPr>
      </w:pPr>
      <w:r w:rsidRPr="00F00262">
        <w:rPr>
          <w:rFonts w:ascii="Arial" w:eastAsia="Times New Roman" w:hAnsi="Arial" w:cs="David" w:hint="cs"/>
          <w:sz w:val="24"/>
          <w:szCs w:val="24"/>
          <w:rtl/>
        </w:rPr>
        <w:t>בחוות דעת ד"ר שבירו-רוזמן, רופאת משרד הבריאות מיום 03.07.24 נכתב, כי יש לחסן הקטין מוקדם ככל הניתן בטטנוס שאם לא כן הוא עלול להימצא במצב מסכן חיים. שיעור התמותה  מהמחלה בקרב החולים בטטנוס עומד על מעל 10%. תקופת דגירת טטנוס נעה בין 3 ל-21 יום. מרבית המקרים מתרחשים בתוך 8 ימים ממועד החבלה. מתן החיסון בנסיבות הקיימות יכול ורלוונטי למנוע תחלואה ותמותה. ביום 27.06.24 פורסמה הודעת דוברות משרד הבריאות לפיה התקבל דיווח על קטין בן 7 שלא חוסן בטטנוס בחיסוני השגרה ומאושפז בטיפול נמרץ לאחר שחלה בטטנוס כתוצאה מנפילה שגרמה לפציעה.</w:t>
      </w:r>
    </w:p>
    <w:p w:rsidR="00F00262" w:rsidRPr="00F00262" w:rsidRDefault="00F00262" w:rsidP="00F00262">
      <w:pPr>
        <w:spacing w:after="0" w:line="360" w:lineRule="auto"/>
        <w:jc w:val="both"/>
        <w:rPr>
          <w:rFonts w:ascii="Arial" w:eastAsia="Times New Roman" w:hAnsi="Arial" w:cs="David"/>
          <w:b/>
          <w:bCs/>
          <w:sz w:val="24"/>
          <w:szCs w:val="24"/>
          <w:rtl/>
        </w:rPr>
      </w:pPr>
    </w:p>
    <w:p w:rsidR="00F00262" w:rsidRPr="00F00262" w:rsidRDefault="00F00262" w:rsidP="00F00262">
      <w:pPr>
        <w:spacing w:after="0" w:line="360" w:lineRule="auto"/>
        <w:ind w:left="567" w:hanging="567"/>
        <w:jc w:val="both"/>
        <w:rPr>
          <w:rFonts w:ascii="Arial" w:eastAsia="Times New Roman" w:hAnsi="Arial" w:cs="David"/>
          <w:sz w:val="24"/>
          <w:szCs w:val="24"/>
          <w:rtl/>
        </w:rPr>
      </w:pPr>
      <w:r w:rsidRPr="00F00262">
        <w:rPr>
          <w:rFonts w:ascii="Arial" w:eastAsia="Times New Roman" w:hAnsi="Arial" w:cs="David" w:hint="cs"/>
          <w:sz w:val="24"/>
          <w:szCs w:val="24"/>
          <w:rtl/>
        </w:rPr>
        <w:t>6.</w:t>
      </w:r>
      <w:r w:rsidRPr="00F00262">
        <w:rPr>
          <w:rFonts w:ascii="Arial" w:eastAsia="Times New Roman" w:hAnsi="Arial" w:cs="David" w:hint="cs"/>
          <w:sz w:val="24"/>
          <w:szCs w:val="24"/>
          <w:rtl/>
        </w:rPr>
        <w:tab/>
      </w:r>
      <w:r w:rsidRPr="00F00262">
        <w:rPr>
          <w:rFonts w:ascii="Arial" w:eastAsia="Times New Roman" w:hAnsi="Arial" w:cs="David" w:hint="cs"/>
          <w:b/>
          <w:bCs/>
          <w:sz w:val="24"/>
          <w:szCs w:val="24"/>
          <w:rtl/>
        </w:rPr>
        <w:t>נייר עמדה מטעם ההורים</w:t>
      </w:r>
      <w:r w:rsidRPr="00F00262">
        <w:rPr>
          <w:rFonts w:ascii="Arial" w:eastAsia="Times New Roman" w:hAnsi="Arial" w:cs="David" w:hint="cs"/>
          <w:sz w:val="24"/>
          <w:szCs w:val="24"/>
          <w:rtl/>
        </w:rPr>
        <w:t xml:space="preserve"> הוגש לתיק. כאמור מדובר בנייר עמדה שנערך ע"י ב"כ ההורים בחודש אפריל 2024. ממילא אין בו התייחסות לנסיבות הספציפיות שלפני.</w:t>
      </w:r>
    </w:p>
    <w:p w:rsidR="00F00262" w:rsidRPr="00F00262" w:rsidRDefault="00F00262" w:rsidP="00F00262">
      <w:pPr>
        <w:spacing w:after="0" w:line="360" w:lineRule="auto"/>
        <w:ind w:left="567"/>
        <w:jc w:val="both"/>
        <w:rPr>
          <w:rFonts w:ascii="Arial" w:eastAsia="Times New Roman" w:hAnsi="Arial" w:cs="David"/>
          <w:sz w:val="24"/>
          <w:szCs w:val="24"/>
          <w:rtl/>
        </w:rPr>
      </w:pPr>
      <w:r w:rsidRPr="00F00262">
        <w:rPr>
          <w:rFonts w:ascii="Arial" w:eastAsia="Times New Roman" w:hAnsi="Arial" w:cs="David" w:hint="cs"/>
          <w:sz w:val="24"/>
          <w:szCs w:val="24"/>
          <w:rtl/>
        </w:rPr>
        <w:t>נטען שם כי חיוב הורים לחסן את ילדיהם נגד טטנוס פוגע בזכות ההורים לאוטונומיה לקבל החלטות עבור ילדם. פגיעה בזכות זו מחייבת עמידה בתנאים מחמירים ביותר. שיעור התחלואה בהתבסס על נתונים של ה-</w:t>
      </w:r>
      <w:r w:rsidRPr="00F00262">
        <w:rPr>
          <w:rFonts w:ascii="Arial" w:eastAsia="Times New Roman" w:hAnsi="Arial" w:cs="David"/>
          <w:sz w:val="20"/>
          <w:szCs w:val="20"/>
        </w:rPr>
        <w:t>CDC</w:t>
      </w:r>
      <w:r w:rsidRPr="00F00262">
        <w:rPr>
          <w:rFonts w:ascii="Arial" w:eastAsia="Times New Roman" w:hAnsi="Arial" w:cs="David" w:hint="cs"/>
          <w:sz w:val="24"/>
          <w:szCs w:val="24"/>
          <w:rtl/>
        </w:rPr>
        <w:t xml:space="preserve"> האמריקני הנו אפסי בעידן שקדם לכניסת החיסון. נתונים סטטיסטיים בישראל מלמדים שהמחלה נעלמה כמעט כליל בעשורים האחרונים ו-0 מקרי תמותה. המחלה נחשבת מסוכנת אך הסיכוי לחלות בה קטן עד כמעט ולא קיים. היות והסיכויים לחלות קלושים אין מקום להתערב בשיקול דעת והכרעת ההורים. במצב שלא ידוע אם הנפצע פצע קל מחוסן או שידוע שלא חוסן ההמלצה של תדריך משרד הבריאות היא לתת חיסון פעיל בלבד. אין המלצה על חיסון סביל. החיסון הפעיל אינו רלוונטי לפציעה מאחר שנדרש לפחות 3 שבועות לפתח נוגדנים. ההמלצה היא ליתן החיסון כדי להגן מפציעה עתידית. אין סכנת חיים.</w:t>
      </w:r>
    </w:p>
    <w:p w:rsidR="00F00262" w:rsidRPr="00F00262" w:rsidRDefault="00F00262" w:rsidP="00F00262">
      <w:pPr>
        <w:spacing w:after="0" w:line="360" w:lineRule="auto"/>
        <w:ind w:left="567"/>
        <w:jc w:val="both"/>
        <w:rPr>
          <w:rFonts w:ascii="Arial" w:eastAsia="Times New Roman" w:hAnsi="Arial" w:cs="David"/>
          <w:sz w:val="24"/>
          <w:szCs w:val="24"/>
          <w:rtl/>
        </w:rPr>
      </w:pPr>
      <w:r w:rsidRPr="00F00262">
        <w:rPr>
          <w:rFonts w:ascii="Arial" w:eastAsia="Times New Roman" w:hAnsi="Arial" w:cs="David" w:hint="cs"/>
          <w:sz w:val="24"/>
          <w:szCs w:val="24"/>
          <w:rtl/>
        </w:rPr>
        <w:t>המשיבים מפנים לעמ"ש 71141-02-20 (כב' השופט ערפאת טאהא).</w:t>
      </w:r>
    </w:p>
    <w:p w:rsidR="00F00262" w:rsidRPr="00F00262" w:rsidRDefault="00F00262" w:rsidP="00F00262">
      <w:pPr>
        <w:spacing w:after="0" w:line="360" w:lineRule="auto"/>
        <w:ind w:left="567"/>
        <w:jc w:val="both"/>
        <w:rPr>
          <w:rFonts w:ascii="Arial" w:eastAsia="Times New Roman" w:hAnsi="Arial" w:cs="David"/>
          <w:sz w:val="24"/>
          <w:szCs w:val="24"/>
          <w:rtl/>
        </w:rPr>
      </w:pPr>
    </w:p>
    <w:p w:rsidR="00F00262" w:rsidRPr="00F00262" w:rsidRDefault="00F00262" w:rsidP="00F00262">
      <w:pPr>
        <w:spacing w:after="0" w:line="360" w:lineRule="auto"/>
        <w:ind w:left="567" w:hanging="567"/>
        <w:jc w:val="both"/>
        <w:rPr>
          <w:rFonts w:ascii="Arial" w:eastAsia="Times New Roman" w:hAnsi="Arial" w:cs="David"/>
          <w:sz w:val="24"/>
          <w:szCs w:val="24"/>
          <w:rtl/>
        </w:rPr>
      </w:pPr>
      <w:r w:rsidRPr="00F00262">
        <w:rPr>
          <w:rFonts w:ascii="Arial" w:eastAsia="Times New Roman" w:hAnsi="Arial" w:cs="David" w:hint="cs"/>
          <w:sz w:val="24"/>
          <w:szCs w:val="24"/>
          <w:rtl/>
        </w:rPr>
        <w:t>7.</w:t>
      </w:r>
      <w:r w:rsidRPr="00F00262">
        <w:rPr>
          <w:rFonts w:ascii="Arial" w:eastAsia="Times New Roman" w:hAnsi="Arial" w:cs="David" w:hint="cs"/>
          <w:sz w:val="24"/>
          <w:szCs w:val="24"/>
          <w:rtl/>
        </w:rPr>
        <w:tab/>
        <w:t>בדיון חזרו הנוכחים על הכתוב והדגישו טענותיהם, לכל נדרשתי.</w:t>
      </w:r>
    </w:p>
    <w:p w:rsidR="00F00262" w:rsidRPr="00F00262" w:rsidRDefault="00F00262" w:rsidP="00F00262">
      <w:pPr>
        <w:spacing w:after="0" w:line="360" w:lineRule="auto"/>
        <w:ind w:left="567" w:hanging="567"/>
        <w:jc w:val="both"/>
        <w:rPr>
          <w:rFonts w:ascii="Arial" w:eastAsia="Times New Roman" w:hAnsi="Arial" w:cs="David"/>
          <w:sz w:val="24"/>
          <w:szCs w:val="24"/>
          <w:rtl/>
        </w:rPr>
      </w:pPr>
    </w:p>
    <w:p w:rsidR="00F00262" w:rsidRPr="00F00262" w:rsidRDefault="00F00262" w:rsidP="00F00262">
      <w:pPr>
        <w:spacing w:after="0" w:line="360" w:lineRule="auto"/>
        <w:ind w:left="567" w:hanging="567"/>
        <w:jc w:val="both"/>
        <w:rPr>
          <w:rFonts w:ascii="Arial" w:eastAsia="Times New Roman" w:hAnsi="Arial" w:cs="David"/>
          <w:sz w:val="24"/>
          <w:szCs w:val="24"/>
          <w:rtl/>
        </w:rPr>
      </w:pPr>
      <w:r w:rsidRPr="00F00262">
        <w:rPr>
          <w:rFonts w:ascii="Arial" w:eastAsia="Times New Roman" w:hAnsi="Arial" w:cs="David" w:hint="cs"/>
          <w:sz w:val="24"/>
          <w:szCs w:val="24"/>
          <w:rtl/>
        </w:rPr>
        <w:t>8.</w:t>
      </w:r>
      <w:r w:rsidRPr="00F00262">
        <w:rPr>
          <w:rFonts w:ascii="Arial" w:eastAsia="Times New Roman" w:hAnsi="Arial" w:cs="David" w:hint="cs"/>
          <w:sz w:val="24"/>
          <w:szCs w:val="24"/>
          <w:rtl/>
        </w:rPr>
        <w:tab/>
        <w:t xml:space="preserve">עמדת משרד הבריאות הנתמכת בחוות דעת רפואית מאת ד"ר שבירו-רוזמן הנה לחיסון מיידי של הקטין מתוך חשש לשלומו. ובלשון חוות דעת מיום 03.07.24 </w:t>
      </w:r>
      <w:r w:rsidRPr="00F00262">
        <w:rPr>
          <w:rFonts w:ascii="Arial" w:eastAsia="Times New Roman" w:hAnsi="Arial" w:cs="David" w:hint="cs"/>
          <w:b/>
          <w:bCs/>
          <w:sz w:val="24"/>
          <w:szCs w:val="24"/>
          <w:rtl/>
        </w:rPr>
        <w:t>"הילד עלול להימצא במצב מסכן חיים"</w:t>
      </w:r>
      <w:r w:rsidRPr="00F00262">
        <w:rPr>
          <w:rFonts w:ascii="Arial" w:eastAsia="Times New Roman" w:hAnsi="Arial" w:cs="David" w:hint="cs"/>
          <w:sz w:val="24"/>
          <w:szCs w:val="24"/>
          <w:rtl/>
        </w:rPr>
        <w:t>.</w:t>
      </w:r>
    </w:p>
    <w:p w:rsidR="00F00262" w:rsidRPr="00F00262" w:rsidRDefault="00F00262" w:rsidP="00F00262">
      <w:pPr>
        <w:spacing w:after="0" w:line="360" w:lineRule="auto"/>
        <w:ind w:left="567" w:hanging="567"/>
        <w:jc w:val="both"/>
        <w:rPr>
          <w:rFonts w:ascii="Arial" w:eastAsia="Times New Roman" w:hAnsi="Arial" w:cs="David"/>
          <w:sz w:val="24"/>
          <w:szCs w:val="24"/>
          <w:rtl/>
        </w:rPr>
      </w:pPr>
      <w:r w:rsidRPr="00F00262">
        <w:rPr>
          <w:rFonts w:ascii="Arial" w:eastAsia="Times New Roman" w:hAnsi="Arial" w:cs="David" w:hint="cs"/>
          <w:sz w:val="24"/>
          <w:szCs w:val="24"/>
          <w:rtl/>
        </w:rPr>
        <w:tab/>
        <w:t>ד"ר שבירו-רוזמן עמדה בחוות הדעת על כך ששיעור התמותה מהמחלה בקרב החולים בטטנוס עומד על מעל 10%. עוד עמדה על כך שתקופת הדגירה של הטטנוס הנה בין 3 ל-21 ימים. במקרה דנן, הקטין מצוי ביום השמיני לאחר מקרה החבלה ומתן חיסון מיידי דרוש לשמירת שלומו.</w:t>
      </w:r>
    </w:p>
    <w:p w:rsidR="00F00262" w:rsidRPr="00F00262" w:rsidRDefault="00F00262" w:rsidP="00F00262">
      <w:pPr>
        <w:spacing w:after="0" w:line="360" w:lineRule="auto"/>
        <w:ind w:left="567" w:hanging="567"/>
        <w:jc w:val="both"/>
        <w:rPr>
          <w:rFonts w:ascii="Arial" w:eastAsia="Times New Roman" w:hAnsi="Arial" w:cs="David"/>
          <w:sz w:val="24"/>
          <w:szCs w:val="24"/>
          <w:rtl/>
        </w:rPr>
      </w:pPr>
      <w:r w:rsidRPr="00F00262">
        <w:rPr>
          <w:rFonts w:ascii="Arial" w:eastAsia="Times New Roman" w:hAnsi="Arial" w:cs="David" w:hint="cs"/>
          <w:sz w:val="24"/>
          <w:szCs w:val="24"/>
          <w:rtl/>
        </w:rPr>
        <w:tab/>
        <w:t xml:space="preserve">לעמדה זו של ד"ר שבירו-רוזמן היו שותפים גם שני הרופאים במיון לרפואת ילדים דחופה בבית חולים "שיבא". כעולה מסיכום ביקור מיום </w:t>
      </w:r>
      <w:r w:rsidRPr="00F00262">
        <w:rPr>
          <w:rFonts w:ascii="Arial" w:eastAsia="Times New Roman" w:hAnsi="Arial" w:cs="David" w:hint="cs"/>
          <w:sz w:val="24"/>
          <w:szCs w:val="24"/>
          <w:u w:val="single"/>
          <w:rtl/>
        </w:rPr>
        <w:t>27.06.24</w:t>
      </w:r>
      <w:r w:rsidRPr="00F00262">
        <w:rPr>
          <w:rFonts w:ascii="Arial" w:eastAsia="Times New Roman" w:hAnsi="Arial" w:cs="David" w:hint="cs"/>
          <w:sz w:val="24"/>
          <w:szCs w:val="24"/>
          <w:rtl/>
        </w:rPr>
        <w:t>, הסיכון מזיהום בטטנוס הנו מסכן חיים בשל פגיעה אפשרית בשרירים ובמערכת העצבים.</w:t>
      </w:r>
    </w:p>
    <w:p w:rsidR="00F00262" w:rsidRPr="00F00262" w:rsidRDefault="00F00262" w:rsidP="00F00262">
      <w:pPr>
        <w:spacing w:after="0" w:line="360" w:lineRule="auto"/>
        <w:ind w:left="567" w:hanging="567"/>
        <w:jc w:val="both"/>
        <w:rPr>
          <w:rFonts w:ascii="Arial" w:eastAsia="Times New Roman" w:hAnsi="Arial" w:cs="David"/>
          <w:sz w:val="24"/>
          <w:szCs w:val="24"/>
          <w:rtl/>
        </w:rPr>
      </w:pPr>
      <w:r w:rsidRPr="00F00262">
        <w:rPr>
          <w:rFonts w:ascii="Arial" w:eastAsia="Times New Roman" w:hAnsi="Arial" w:cs="David" w:hint="cs"/>
          <w:sz w:val="24"/>
          <w:szCs w:val="24"/>
          <w:rtl/>
        </w:rPr>
        <w:lastRenderedPageBreak/>
        <w:tab/>
        <w:t>בדיון לפני חיזקה ד"ר שבירו-רוזמן את הכתוב.</w:t>
      </w:r>
    </w:p>
    <w:p w:rsidR="00F00262" w:rsidRPr="00F00262" w:rsidRDefault="00F00262" w:rsidP="00F00262">
      <w:pPr>
        <w:spacing w:after="0" w:line="360" w:lineRule="auto"/>
        <w:ind w:left="567" w:hanging="567"/>
        <w:jc w:val="both"/>
        <w:rPr>
          <w:rFonts w:ascii="Arial" w:eastAsia="Times New Roman" w:hAnsi="Arial" w:cs="David"/>
          <w:b/>
          <w:bCs/>
          <w:sz w:val="24"/>
          <w:szCs w:val="24"/>
          <w:rtl/>
        </w:rPr>
      </w:pPr>
      <w:r w:rsidRPr="00F00262">
        <w:rPr>
          <w:rFonts w:ascii="Arial" w:eastAsia="Times New Roman" w:hAnsi="Arial" w:cs="David" w:hint="cs"/>
          <w:sz w:val="24"/>
          <w:szCs w:val="24"/>
          <w:rtl/>
        </w:rPr>
        <w:tab/>
      </w:r>
      <w:r w:rsidRPr="00F00262">
        <w:rPr>
          <w:rFonts w:ascii="Arial" w:eastAsia="Times New Roman" w:hAnsi="Arial" w:cs="David" w:hint="cs"/>
          <w:b/>
          <w:bCs/>
          <w:sz w:val="24"/>
          <w:szCs w:val="24"/>
          <w:rtl/>
        </w:rPr>
        <w:t>לא מצאתי בטענות ב"כ ההורים לסתור את חוו"ד הרפואית המקצועית ככלל, ובפרט לא מצאתי בנטען כדי לסתור את המלצות הגורמים הרפואיים המקצועיים במקרה הספציפי שלפני.</w:t>
      </w:r>
    </w:p>
    <w:p w:rsidR="00F00262" w:rsidRPr="00F00262" w:rsidRDefault="00F00262" w:rsidP="00F00262">
      <w:pPr>
        <w:spacing w:after="0" w:line="360" w:lineRule="auto"/>
        <w:jc w:val="both"/>
        <w:rPr>
          <w:rFonts w:ascii="Arial" w:eastAsia="Times New Roman" w:hAnsi="Arial" w:cs="David"/>
          <w:b/>
          <w:bCs/>
          <w:sz w:val="24"/>
          <w:szCs w:val="24"/>
          <w:rtl/>
        </w:rPr>
      </w:pPr>
    </w:p>
    <w:p w:rsidR="00F00262" w:rsidRPr="00F00262" w:rsidRDefault="00F00262" w:rsidP="00F00262">
      <w:pPr>
        <w:tabs>
          <w:tab w:val="left" w:pos="566"/>
        </w:tabs>
        <w:spacing w:after="0" w:line="360" w:lineRule="auto"/>
        <w:ind w:left="566" w:hanging="566"/>
        <w:jc w:val="both"/>
        <w:rPr>
          <w:rFonts w:ascii="Arial" w:eastAsia="Times New Roman" w:hAnsi="Arial" w:cs="David"/>
          <w:sz w:val="24"/>
          <w:szCs w:val="24"/>
          <w:rtl/>
        </w:rPr>
      </w:pPr>
      <w:r w:rsidRPr="00F00262">
        <w:rPr>
          <w:rFonts w:ascii="Arial" w:eastAsia="Times New Roman" w:hAnsi="Arial" w:cs="David" w:hint="cs"/>
          <w:b/>
          <w:bCs/>
          <w:sz w:val="24"/>
          <w:szCs w:val="24"/>
          <w:rtl/>
        </w:rPr>
        <w:t>9.</w:t>
      </w:r>
      <w:r w:rsidRPr="00F00262">
        <w:rPr>
          <w:rFonts w:ascii="Arial" w:eastAsia="Times New Roman" w:hAnsi="Arial" w:cs="David" w:hint="cs"/>
          <w:b/>
          <w:bCs/>
          <w:sz w:val="24"/>
          <w:szCs w:val="24"/>
          <w:rtl/>
        </w:rPr>
        <w:tab/>
        <w:t>עמדת האפוטרופסה לדין של הקטין</w:t>
      </w:r>
      <w:r w:rsidRPr="00F00262">
        <w:rPr>
          <w:rFonts w:ascii="Arial" w:eastAsia="Times New Roman" w:hAnsi="Arial" w:cs="David" w:hint="cs"/>
          <w:sz w:val="24"/>
          <w:szCs w:val="24"/>
          <w:rtl/>
        </w:rPr>
        <w:t>, לאחר ששמעה את כלל הנטען – כי טובת הקטין מחייבת קבלת החיסון על מנת למנוע סיכון להדבק במחלקה המוגדרת במחלה מסכנת חיים, במיוחד כאשר מדובר בקטין</w:t>
      </w:r>
      <w:r w:rsidR="00CA4A66">
        <w:rPr>
          <w:rFonts w:ascii="Arial" w:eastAsia="Times New Roman" w:hAnsi="Arial" w:cs="David" w:hint="cs"/>
          <w:sz w:val="24"/>
          <w:szCs w:val="24"/>
          <w:rtl/>
        </w:rPr>
        <w:t xml:space="preserve"> שלא חוסן כלל בחיסוני חובה ויש ס</w:t>
      </w:r>
      <w:r w:rsidRPr="00F00262">
        <w:rPr>
          <w:rFonts w:ascii="Arial" w:eastAsia="Times New Roman" w:hAnsi="Arial" w:cs="David" w:hint="cs"/>
          <w:sz w:val="24"/>
          <w:szCs w:val="24"/>
          <w:rtl/>
        </w:rPr>
        <w:t>גופו אפס מנות נוגדני טטנוס.</w:t>
      </w:r>
    </w:p>
    <w:p w:rsidR="00F00262" w:rsidRPr="00F00262" w:rsidRDefault="00F00262" w:rsidP="00F00262">
      <w:pPr>
        <w:spacing w:after="0" w:line="360" w:lineRule="auto"/>
        <w:ind w:left="567" w:hanging="567"/>
        <w:jc w:val="both"/>
        <w:rPr>
          <w:rFonts w:ascii="Arial" w:eastAsia="Times New Roman" w:hAnsi="Arial" w:cs="David"/>
          <w:sz w:val="24"/>
          <w:szCs w:val="24"/>
          <w:rtl/>
        </w:rPr>
      </w:pPr>
    </w:p>
    <w:p w:rsidR="00F00262" w:rsidRPr="00F00262" w:rsidRDefault="00F00262" w:rsidP="00F00262">
      <w:pPr>
        <w:spacing w:after="0" w:line="360" w:lineRule="auto"/>
        <w:ind w:left="567" w:hanging="567"/>
        <w:jc w:val="both"/>
        <w:rPr>
          <w:rFonts w:ascii="Arial" w:eastAsia="Times New Roman" w:hAnsi="Arial" w:cs="David"/>
          <w:b/>
          <w:bCs/>
          <w:sz w:val="24"/>
          <w:szCs w:val="24"/>
          <w:rtl/>
        </w:rPr>
      </w:pPr>
      <w:r w:rsidRPr="00F00262">
        <w:rPr>
          <w:rFonts w:ascii="Arial" w:eastAsia="Times New Roman" w:hAnsi="Arial" w:cs="David" w:hint="cs"/>
          <w:b/>
          <w:bCs/>
          <w:sz w:val="24"/>
          <w:szCs w:val="24"/>
          <w:rtl/>
        </w:rPr>
        <w:t>10.</w:t>
      </w:r>
      <w:r w:rsidRPr="00F00262">
        <w:rPr>
          <w:rFonts w:ascii="Arial" w:eastAsia="Times New Roman" w:hAnsi="Arial" w:cs="David" w:hint="cs"/>
          <w:b/>
          <w:bCs/>
          <w:sz w:val="24"/>
          <w:szCs w:val="24"/>
          <w:rtl/>
        </w:rPr>
        <w:tab/>
        <w:t>בהינתן פרק הזמן ממועד החבלה בו נפצע הקטין, היום השמיני מהחבלה, היותו של הקטין לא מחוסן בחיסוני שגרה ובפרט ובעניינינו יש בגופו אפס נוגדני טטנוס, על יסוד חוות דעת הרפואיות שהונחו לפני</w:t>
      </w:r>
      <w:r w:rsidRPr="00F00262">
        <w:rPr>
          <w:rFonts w:ascii="Arial" w:eastAsia="Times New Roman" w:hAnsi="Arial" w:cs="David" w:hint="cs"/>
          <w:sz w:val="24"/>
          <w:szCs w:val="24"/>
          <w:rtl/>
        </w:rPr>
        <w:t xml:space="preserve">, </w:t>
      </w:r>
      <w:r w:rsidRPr="00F00262">
        <w:rPr>
          <w:rFonts w:ascii="Arial" w:eastAsia="Times New Roman" w:hAnsi="Arial" w:cs="David" w:hint="cs"/>
          <w:b/>
          <w:bCs/>
          <w:sz w:val="24"/>
          <w:szCs w:val="24"/>
          <w:rtl/>
        </w:rPr>
        <w:t>אשר חוזקו בהסבריה ועדותה של ד"ר שבירו-רוזמן בדיון</w:t>
      </w:r>
      <w:r w:rsidRPr="00F00262">
        <w:rPr>
          <w:rFonts w:ascii="Arial" w:eastAsia="Times New Roman" w:hAnsi="Arial" w:cs="David" w:hint="cs"/>
          <w:sz w:val="24"/>
          <w:szCs w:val="24"/>
          <w:rtl/>
        </w:rPr>
        <w:t xml:space="preserve"> –</w:t>
      </w:r>
    </w:p>
    <w:p w:rsidR="00F00262" w:rsidRPr="00F00262" w:rsidRDefault="00F00262" w:rsidP="00F00262">
      <w:pPr>
        <w:spacing w:after="0" w:line="360" w:lineRule="auto"/>
        <w:ind w:left="567" w:hanging="567"/>
        <w:jc w:val="both"/>
        <w:rPr>
          <w:rFonts w:ascii="Arial" w:eastAsia="Times New Roman" w:hAnsi="Arial" w:cs="David"/>
          <w:b/>
          <w:bCs/>
          <w:sz w:val="24"/>
          <w:szCs w:val="24"/>
          <w:rtl/>
        </w:rPr>
      </w:pPr>
      <w:r w:rsidRPr="00F00262">
        <w:rPr>
          <w:rFonts w:ascii="Arial" w:eastAsia="Times New Roman" w:hAnsi="Arial" w:cs="David" w:hint="cs"/>
          <w:b/>
          <w:bCs/>
          <w:sz w:val="24"/>
          <w:szCs w:val="24"/>
          <w:rtl/>
        </w:rPr>
        <w:tab/>
        <w:t>שוכנעתי שטובת הקטין לקבלת החיסון.</w:t>
      </w:r>
    </w:p>
    <w:p w:rsidR="00F00262" w:rsidRPr="00F00262" w:rsidRDefault="00F00262" w:rsidP="00F00262">
      <w:pPr>
        <w:spacing w:after="0" w:line="360" w:lineRule="auto"/>
        <w:ind w:left="567"/>
        <w:jc w:val="both"/>
        <w:rPr>
          <w:rFonts w:ascii="Arial" w:eastAsia="Times New Roman" w:hAnsi="Arial" w:cs="David"/>
          <w:b/>
          <w:bCs/>
          <w:sz w:val="24"/>
          <w:szCs w:val="24"/>
          <w:rtl/>
        </w:rPr>
      </w:pPr>
      <w:r w:rsidRPr="00F00262">
        <w:rPr>
          <w:rFonts w:ascii="Arial" w:eastAsia="Times New Roman" w:hAnsi="Arial" w:cs="David" w:hint="cs"/>
          <w:b/>
          <w:bCs/>
          <w:sz w:val="24"/>
          <w:szCs w:val="24"/>
          <w:rtl/>
        </w:rPr>
        <w:t>שוכנעתי כי קיימת סכנה ממשית לשלומו בריאותו וחייו של הקטין ככל שלא יחוסן ותתפרץ המחלה.</w:t>
      </w:r>
    </w:p>
    <w:p w:rsidR="00F00262" w:rsidRPr="00F00262" w:rsidRDefault="00F00262" w:rsidP="00F00262">
      <w:pPr>
        <w:spacing w:after="0" w:line="360" w:lineRule="auto"/>
        <w:ind w:left="567"/>
        <w:jc w:val="both"/>
        <w:rPr>
          <w:rFonts w:ascii="Arial" w:eastAsia="Times New Roman" w:hAnsi="Arial" w:cs="David"/>
          <w:b/>
          <w:bCs/>
          <w:sz w:val="24"/>
          <w:szCs w:val="24"/>
          <w:rtl/>
        </w:rPr>
      </w:pPr>
      <w:r w:rsidRPr="00F00262">
        <w:rPr>
          <w:rFonts w:ascii="Arial" w:eastAsia="Times New Roman" w:hAnsi="Arial" w:cs="David" w:hint="cs"/>
          <w:b/>
          <w:bCs/>
          <w:sz w:val="24"/>
          <w:szCs w:val="24"/>
          <w:rtl/>
        </w:rPr>
        <w:t>שוכנעתי כי הסיכון במתן החיסון קטן וזניח ביחס לסיכון שקיים לקטין ככל שיחלה במחלה בהעדר חיסון.</w:t>
      </w:r>
    </w:p>
    <w:p w:rsidR="00F00262" w:rsidRPr="00F00262" w:rsidRDefault="00F00262" w:rsidP="00F00262">
      <w:pPr>
        <w:spacing w:after="0" w:line="360" w:lineRule="auto"/>
        <w:ind w:left="567"/>
        <w:jc w:val="both"/>
        <w:rPr>
          <w:rFonts w:ascii="Arial" w:eastAsia="Times New Roman" w:hAnsi="Arial" w:cs="David"/>
          <w:b/>
          <w:bCs/>
          <w:sz w:val="24"/>
          <w:szCs w:val="24"/>
          <w:rtl/>
        </w:rPr>
      </w:pPr>
      <w:r w:rsidRPr="00F00262">
        <w:rPr>
          <w:rFonts w:ascii="Arial" w:eastAsia="Times New Roman" w:hAnsi="Arial" w:cs="David" w:hint="cs"/>
          <w:b/>
          <w:bCs/>
          <w:sz w:val="24"/>
          <w:szCs w:val="24"/>
          <w:rtl/>
        </w:rPr>
        <w:t>שוכנעתי כי מתן חיסון פעיל וסביל בנסיבות העניין שלפני הכרחית לשמירת בריאותו ושלומו הגופני של הקטין, עד כדי מניעת סכנת חיים.</w:t>
      </w:r>
    </w:p>
    <w:p w:rsidR="00F00262" w:rsidRPr="00F00262" w:rsidRDefault="00F00262" w:rsidP="00F00262">
      <w:pPr>
        <w:spacing w:after="0" w:line="360" w:lineRule="auto"/>
        <w:ind w:left="567"/>
        <w:jc w:val="both"/>
        <w:rPr>
          <w:rFonts w:ascii="Arial" w:eastAsia="Times New Roman" w:hAnsi="Arial" w:cs="David"/>
          <w:b/>
          <w:bCs/>
          <w:sz w:val="24"/>
          <w:szCs w:val="24"/>
          <w:rtl/>
        </w:rPr>
      </w:pPr>
    </w:p>
    <w:p w:rsidR="00F00262" w:rsidRPr="00F00262" w:rsidRDefault="00F00262" w:rsidP="00F00262">
      <w:pPr>
        <w:tabs>
          <w:tab w:val="left" w:pos="566"/>
        </w:tabs>
        <w:spacing w:after="0" w:line="360" w:lineRule="auto"/>
        <w:ind w:left="566" w:hanging="566"/>
        <w:jc w:val="both"/>
        <w:rPr>
          <w:rFonts w:ascii="Arial" w:eastAsia="Times New Roman" w:hAnsi="Arial" w:cs="David"/>
          <w:sz w:val="24"/>
          <w:szCs w:val="24"/>
          <w:rtl/>
        </w:rPr>
      </w:pPr>
      <w:r w:rsidRPr="00F00262">
        <w:rPr>
          <w:rFonts w:ascii="Arial" w:eastAsia="Times New Roman" w:hAnsi="Arial" w:cs="David" w:hint="cs"/>
          <w:sz w:val="24"/>
          <w:szCs w:val="24"/>
          <w:rtl/>
        </w:rPr>
        <w:t>11.</w:t>
      </w:r>
      <w:r w:rsidRPr="00F00262">
        <w:rPr>
          <w:rFonts w:ascii="Arial" w:eastAsia="Times New Roman" w:hAnsi="Arial" w:cs="David" w:hint="cs"/>
          <w:sz w:val="24"/>
          <w:szCs w:val="24"/>
          <w:rtl/>
        </w:rPr>
        <w:tab/>
        <w:t>פסק הדין אליו מפנים ההורים  בעמ"ש (נצ') 71141-02-20 – אינו דומה לראיה בנסיבות שלפני, בפרט כאשר שם בימ"ש נדרש למתן החלטה לאחר חלוף כ- 30 ימים ממועד הפציעה, הסיכוי שהקטינה בה דובר חלתה במחלה נמוך.</w:t>
      </w:r>
    </w:p>
    <w:p w:rsidR="00F00262" w:rsidRPr="00F00262" w:rsidRDefault="00F00262" w:rsidP="00F00262">
      <w:pPr>
        <w:tabs>
          <w:tab w:val="left" w:pos="566"/>
        </w:tabs>
        <w:spacing w:after="0" w:line="360" w:lineRule="auto"/>
        <w:ind w:left="566" w:hanging="566"/>
        <w:jc w:val="both"/>
        <w:rPr>
          <w:rFonts w:ascii="Arial" w:eastAsia="Times New Roman" w:hAnsi="Arial" w:cs="David"/>
          <w:sz w:val="24"/>
          <w:szCs w:val="24"/>
          <w:rtl/>
        </w:rPr>
      </w:pPr>
      <w:r w:rsidRPr="00F00262">
        <w:rPr>
          <w:rFonts w:ascii="Arial" w:eastAsia="Times New Roman" w:hAnsi="Arial" w:cs="David" w:hint="cs"/>
          <w:sz w:val="24"/>
          <w:szCs w:val="24"/>
          <w:rtl/>
        </w:rPr>
        <w:tab/>
        <w:t>זאת לעומת פרק הזמן בו נמצא הקטין שלפני כאמור, כשמונה ימים לאחר הפציעה.</w:t>
      </w:r>
    </w:p>
    <w:p w:rsidR="00F00262" w:rsidRPr="00F00262" w:rsidRDefault="00F00262" w:rsidP="00F00262">
      <w:pPr>
        <w:tabs>
          <w:tab w:val="left" w:pos="566"/>
        </w:tabs>
        <w:spacing w:after="0" w:line="360" w:lineRule="auto"/>
        <w:ind w:left="566" w:hanging="566"/>
        <w:jc w:val="both"/>
        <w:rPr>
          <w:rFonts w:ascii="Arial" w:eastAsia="Times New Roman" w:hAnsi="Arial" w:cs="David"/>
          <w:sz w:val="24"/>
          <w:szCs w:val="24"/>
          <w:rtl/>
        </w:rPr>
      </w:pPr>
    </w:p>
    <w:p w:rsidR="00F00262" w:rsidRPr="00F00262" w:rsidRDefault="00F00262" w:rsidP="00F00262">
      <w:pPr>
        <w:spacing w:after="0" w:line="360" w:lineRule="auto"/>
        <w:ind w:left="567" w:hanging="567"/>
        <w:jc w:val="both"/>
        <w:rPr>
          <w:rFonts w:ascii="Arial" w:eastAsia="Times New Roman" w:hAnsi="Arial" w:cs="David"/>
          <w:b/>
          <w:bCs/>
          <w:sz w:val="24"/>
          <w:szCs w:val="24"/>
          <w:rtl/>
        </w:rPr>
      </w:pPr>
      <w:r w:rsidRPr="00F00262">
        <w:rPr>
          <w:rFonts w:ascii="Arial" w:eastAsia="Times New Roman" w:hAnsi="Arial" w:cs="David" w:hint="cs"/>
          <w:sz w:val="24"/>
          <w:szCs w:val="24"/>
          <w:rtl/>
        </w:rPr>
        <w:t>12</w:t>
      </w:r>
      <w:r w:rsidRPr="00F00262">
        <w:rPr>
          <w:rFonts w:ascii="Arial" w:eastAsia="Times New Roman" w:hAnsi="Arial" w:cs="David" w:hint="cs"/>
          <w:sz w:val="24"/>
          <w:szCs w:val="24"/>
          <w:rtl/>
        </w:rPr>
        <w:tab/>
      </w:r>
      <w:r w:rsidRPr="00F00262">
        <w:rPr>
          <w:rFonts w:ascii="Arial" w:eastAsia="Times New Roman" w:hAnsi="Arial" w:cs="David" w:hint="cs"/>
          <w:b/>
          <w:bCs/>
          <w:sz w:val="24"/>
          <w:szCs w:val="24"/>
          <w:rtl/>
        </w:rPr>
        <w:t>על יסוד כל האמור ומכח סמכותי על פי הוראות סעיף 28(ב) לחוק הכשרות המשפטית והאפוטרופסות – אני נעתרת למבוקש.</w:t>
      </w:r>
    </w:p>
    <w:p w:rsidR="00F00262" w:rsidRPr="00F00262" w:rsidRDefault="00F00262" w:rsidP="00F00262">
      <w:pPr>
        <w:spacing w:after="0" w:line="360" w:lineRule="auto"/>
        <w:ind w:left="567" w:hanging="567"/>
        <w:jc w:val="both"/>
        <w:rPr>
          <w:rFonts w:ascii="Arial" w:eastAsia="Times New Roman" w:hAnsi="Arial" w:cs="David"/>
          <w:b/>
          <w:bCs/>
          <w:sz w:val="24"/>
          <w:szCs w:val="24"/>
          <w:rtl/>
        </w:rPr>
      </w:pPr>
      <w:r w:rsidRPr="00F00262">
        <w:rPr>
          <w:rFonts w:ascii="Arial" w:eastAsia="Times New Roman" w:hAnsi="Arial" w:cs="David" w:hint="cs"/>
          <w:b/>
          <w:bCs/>
          <w:sz w:val="24"/>
          <w:szCs w:val="24"/>
          <w:rtl/>
        </w:rPr>
        <w:tab/>
        <w:t>הקטין יחוסן בחיסון טטנוס פעיל וסביל מוקדם ככל שניתן.</w:t>
      </w:r>
    </w:p>
    <w:p w:rsidR="00F00262" w:rsidRPr="00F00262" w:rsidRDefault="00F00262" w:rsidP="00F00262">
      <w:pPr>
        <w:spacing w:after="0" w:line="360" w:lineRule="auto"/>
        <w:ind w:left="567" w:hanging="567"/>
        <w:jc w:val="both"/>
        <w:rPr>
          <w:rFonts w:ascii="Arial" w:eastAsia="Times New Roman" w:hAnsi="Arial" w:cs="David"/>
          <w:b/>
          <w:bCs/>
          <w:sz w:val="24"/>
          <w:szCs w:val="24"/>
          <w:rtl/>
        </w:rPr>
      </w:pPr>
      <w:r w:rsidRPr="00F00262">
        <w:rPr>
          <w:rFonts w:ascii="Arial" w:eastAsia="Times New Roman" w:hAnsi="Arial" w:cs="David" w:hint="cs"/>
          <w:b/>
          <w:bCs/>
          <w:sz w:val="24"/>
          <w:szCs w:val="24"/>
          <w:rtl/>
        </w:rPr>
        <w:tab/>
        <w:t>משטרת ישראל תסייע באכיפת הצו ככל שנדרש.</w:t>
      </w:r>
    </w:p>
    <w:tbl>
      <w:tblPr>
        <w:tblStyle w:val="1"/>
        <w:tblpPr w:leftFromText="180" w:rightFromText="180" w:vertAnchor="text" w:horzAnchor="margin" w:tblpY="257"/>
        <w:bidiVisual/>
        <w:tblW w:w="0" w:type="auto"/>
        <w:tblInd w:w="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23007" w:rsidRPr="00F00262" w:rsidTr="00F23007">
        <w:trPr>
          <w:trHeight w:val="316"/>
        </w:trPr>
        <w:tc>
          <w:tcPr>
            <w:tcW w:w="3936" w:type="dxa"/>
            <w:tcBorders>
              <w:top w:val="nil"/>
              <w:left w:val="nil"/>
              <w:bottom w:val="single" w:sz="4" w:space="0" w:color="auto"/>
              <w:right w:val="nil"/>
            </w:tcBorders>
            <w:vAlign w:val="center"/>
          </w:tcPr>
          <w:p w:rsidR="00F23007" w:rsidRPr="00F00262" w:rsidRDefault="00FD5673" w:rsidP="00F23007">
            <w:pPr>
              <w:jc w:val="center"/>
              <w:rPr>
                <w:rFonts w:ascii="David" w:eastAsia="David" w:hAnsi="David" w:cs="David"/>
                <w:sz w:val="24"/>
                <w:szCs w:val="24"/>
                <w:rtl/>
              </w:rPr>
            </w:pPr>
            <w:sdt>
              <w:sdtPr>
                <w:rPr>
                  <w:sz w:val="24"/>
                  <w:szCs w:val="24"/>
                  <w:rtl/>
                </w:rPr>
                <w:alias w:val="MergeField"/>
                <w:tag w:val="2144"/>
                <w:id w:val="-1574587127"/>
              </w:sdtPr>
              <w:sdtEndPr/>
              <w:sdtContent>
                <w:r w:rsidR="00F23007" w:rsidRPr="00F00262">
                  <w:rPr>
                    <w:rFonts w:ascii="David" w:eastAsia="David" w:hAnsi="David" w:cs="David"/>
                    <w:noProof/>
                    <w:sz w:val="24"/>
                    <w:szCs w:val="24"/>
                  </w:rPr>
                  <w:drawing>
                    <wp:inline distT="0" distB="0" distL="0" distR="0" wp14:anchorId="45CDFAE0" wp14:editId="0A1E3F8A">
                      <wp:extent cx="904875" cy="4572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4875" cy="457200"/>
                              </a:xfrm>
                              <a:prstGeom prst="rect">
                                <a:avLst/>
                              </a:prstGeom>
                              <a:noFill/>
                              <a:ln>
                                <a:noFill/>
                              </a:ln>
                            </pic:spPr>
                          </pic:pic>
                        </a:graphicData>
                      </a:graphic>
                    </wp:inline>
                  </w:drawing>
                </w:r>
              </w:sdtContent>
            </w:sdt>
          </w:p>
          <w:p w:rsidR="00F23007" w:rsidRPr="00F00262" w:rsidRDefault="00F23007" w:rsidP="00F23007">
            <w:pPr>
              <w:jc w:val="center"/>
              <w:rPr>
                <w:rFonts w:ascii="David" w:eastAsia="David" w:hAnsi="David" w:cs="David"/>
                <w:sz w:val="24"/>
                <w:szCs w:val="24"/>
              </w:rPr>
            </w:pPr>
          </w:p>
        </w:tc>
      </w:tr>
      <w:tr w:rsidR="00F23007" w:rsidRPr="00F00262" w:rsidTr="00F23007">
        <w:trPr>
          <w:trHeight w:val="361"/>
        </w:trPr>
        <w:tc>
          <w:tcPr>
            <w:tcW w:w="3936" w:type="dxa"/>
            <w:tcBorders>
              <w:top w:val="single" w:sz="4" w:space="0" w:color="auto"/>
              <w:left w:val="nil"/>
              <w:bottom w:val="nil"/>
              <w:right w:val="nil"/>
            </w:tcBorders>
            <w:vAlign w:val="center"/>
            <w:hideMark/>
          </w:tcPr>
          <w:p w:rsidR="00F23007" w:rsidRPr="00F00262" w:rsidRDefault="00FD5673" w:rsidP="00F23007">
            <w:pPr>
              <w:jc w:val="center"/>
              <w:rPr>
                <w:rFonts w:ascii="David" w:eastAsia="David" w:hAnsi="David" w:cs="David"/>
                <w:b/>
                <w:bCs/>
                <w:sz w:val="24"/>
                <w:szCs w:val="24"/>
                <w:rtl/>
              </w:rPr>
            </w:pPr>
            <w:sdt>
              <w:sdtPr>
                <w:rPr>
                  <w:rFonts w:ascii="David" w:eastAsia="David" w:hAnsi="David" w:cs="David"/>
                  <w:b/>
                  <w:bCs/>
                  <w:sz w:val="24"/>
                  <w:szCs w:val="24"/>
                  <w:rtl/>
                </w:rPr>
                <w:alias w:val="2141"/>
                <w:tag w:val="2141"/>
                <w:id w:val="2119712613"/>
                <w:placeholder>
                  <w:docPart w:val="FD6F13F83E7E448D8288F66D2BC862DC"/>
                </w:placeholder>
                <w:text w:multiLine="1"/>
              </w:sdtPr>
              <w:sdtEndPr/>
              <w:sdtContent>
                <w:r w:rsidR="00F23007" w:rsidRPr="00F00262">
                  <w:rPr>
                    <w:rFonts w:ascii="David" w:eastAsia="David" w:hAnsi="David" w:cs="David"/>
                    <w:b/>
                    <w:bCs/>
                    <w:sz w:val="24"/>
                    <w:szCs w:val="24"/>
                    <w:rtl/>
                  </w:rPr>
                  <w:t>עידית</w:t>
                </w:r>
              </w:sdtContent>
            </w:sdt>
            <w:r w:rsidR="00F23007" w:rsidRPr="00F00262">
              <w:rPr>
                <w:rFonts w:cs="David" w:hint="cs"/>
                <w:b/>
                <w:bCs/>
                <w:sz w:val="24"/>
                <w:szCs w:val="24"/>
                <w:rtl/>
              </w:rPr>
              <w:t xml:space="preserve"> </w:t>
            </w:r>
            <w:sdt>
              <w:sdtPr>
                <w:rPr>
                  <w:b/>
                  <w:bCs/>
                  <w:sz w:val="24"/>
                  <w:szCs w:val="24"/>
                  <w:rtl/>
                </w:rPr>
                <w:alias w:val="2142"/>
                <w:tag w:val="2142"/>
                <w:id w:val="-26639521"/>
                <w:placeholder>
                  <w:docPart w:val="75112D7FB0F640038064CD5C39BAA1C5"/>
                </w:placeholder>
                <w:text w:multiLine="1"/>
              </w:sdtPr>
              <w:sdtEndPr/>
              <w:sdtContent>
                <w:r w:rsidR="00F23007" w:rsidRPr="00F00262">
                  <w:rPr>
                    <w:b/>
                    <w:bCs/>
                    <w:sz w:val="24"/>
                    <w:szCs w:val="24"/>
                    <w:rtl/>
                  </w:rPr>
                  <w:t>בן-דב ג'וליאן</w:t>
                </w:r>
              </w:sdtContent>
            </w:sdt>
            <w:r w:rsidR="00F23007" w:rsidRPr="00F00262">
              <w:rPr>
                <w:rFonts w:cs="David" w:hint="cs"/>
                <w:b/>
                <w:bCs/>
                <w:sz w:val="24"/>
                <w:szCs w:val="24"/>
                <w:rtl/>
              </w:rPr>
              <w:t xml:space="preserve">, </w:t>
            </w:r>
            <w:sdt>
              <w:sdtPr>
                <w:rPr>
                  <w:b/>
                  <w:bCs/>
                  <w:sz w:val="24"/>
                  <w:szCs w:val="24"/>
                  <w:rtl/>
                </w:rPr>
                <w:alias w:val="2143"/>
                <w:tag w:val="2143"/>
                <w:id w:val="1647695366"/>
                <w:placeholder>
                  <w:docPart w:val="AB2D6275D642467B8D1C8CDBF6AAB251"/>
                </w:placeholder>
                <w:text w:multiLine="1"/>
              </w:sdtPr>
              <w:sdtEndPr/>
              <w:sdtContent>
                <w:r w:rsidR="00F23007" w:rsidRPr="00F00262">
                  <w:rPr>
                    <w:b/>
                    <w:bCs/>
                    <w:sz w:val="24"/>
                    <w:szCs w:val="24"/>
                    <w:rtl/>
                  </w:rPr>
                  <w:t>שופטת</w:t>
                </w:r>
              </w:sdtContent>
            </w:sdt>
          </w:p>
        </w:tc>
      </w:tr>
    </w:tbl>
    <w:p w:rsidR="00F23007" w:rsidRDefault="00F23007" w:rsidP="00F00262">
      <w:pPr>
        <w:spacing w:after="0" w:line="360" w:lineRule="auto"/>
        <w:rPr>
          <w:rFonts w:ascii="David" w:eastAsia="David" w:hAnsi="David" w:cs="David"/>
          <w:b/>
          <w:bCs/>
          <w:sz w:val="24"/>
          <w:szCs w:val="24"/>
          <w:rtl/>
        </w:rPr>
      </w:pPr>
    </w:p>
    <w:p w:rsidR="00F00262" w:rsidRPr="00F00262" w:rsidRDefault="00F00262" w:rsidP="00F00262">
      <w:pPr>
        <w:spacing w:after="0" w:line="360" w:lineRule="auto"/>
        <w:rPr>
          <w:rFonts w:ascii="David" w:eastAsia="David" w:hAnsi="David" w:cs="David"/>
          <w:sz w:val="24"/>
          <w:szCs w:val="24"/>
          <w:rtl/>
        </w:rPr>
      </w:pPr>
      <w:r w:rsidRPr="00F00262">
        <w:rPr>
          <w:rFonts w:ascii="David" w:eastAsia="David" w:hAnsi="David" w:cs="David" w:hint="cs"/>
          <w:b/>
          <w:bCs/>
          <w:sz w:val="24"/>
          <w:szCs w:val="24"/>
          <w:rtl/>
        </w:rPr>
        <w:t xml:space="preserve">ניתן היום </w:t>
      </w:r>
      <w:sdt>
        <w:sdtPr>
          <w:rPr>
            <w:rFonts w:ascii="David" w:eastAsia="David" w:hAnsi="David" w:cs="David" w:hint="cs"/>
            <w:sz w:val="24"/>
            <w:szCs w:val="24"/>
            <w:rtl/>
          </w:rPr>
          <w:alias w:val="2207"/>
          <w:tag w:val="2207"/>
          <w:id w:val="1329636924"/>
          <w:text w:multiLine="1"/>
        </w:sdtPr>
        <w:sdtEndPr/>
        <w:sdtContent>
          <w:r w:rsidRPr="00F00262">
            <w:rPr>
              <w:rFonts w:ascii="David" w:eastAsia="David" w:hAnsi="David" w:cs="David" w:hint="cs"/>
              <w:sz w:val="24"/>
              <w:szCs w:val="24"/>
              <w:rtl/>
            </w:rPr>
            <w:t>כ"ח סיוון תשפ"ד</w:t>
          </w:r>
        </w:sdtContent>
      </w:sdt>
      <w:r w:rsidRPr="00F00262">
        <w:rPr>
          <w:rFonts w:ascii="David" w:eastAsia="David" w:hAnsi="David" w:cs="David" w:hint="cs"/>
          <w:b/>
          <w:bCs/>
          <w:sz w:val="24"/>
          <w:szCs w:val="24"/>
          <w:rtl/>
        </w:rPr>
        <w:t xml:space="preserve">, </w:t>
      </w:r>
      <w:sdt>
        <w:sdtPr>
          <w:rPr>
            <w:rFonts w:ascii="David" w:eastAsia="David" w:hAnsi="David" w:cs="David" w:hint="cs"/>
            <w:sz w:val="24"/>
            <w:szCs w:val="24"/>
            <w:rtl/>
          </w:rPr>
          <w:alias w:val="2206"/>
          <w:tag w:val="2206"/>
          <w:id w:val="-1474593809"/>
          <w:text w:multiLine="1"/>
        </w:sdtPr>
        <w:sdtEndPr/>
        <w:sdtContent>
          <w:r w:rsidRPr="00F00262">
            <w:rPr>
              <w:rFonts w:ascii="David" w:eastAsia="David" w:hAnsi="David" w:cs="David" w:hint="cs"/>
              <w:sz w:val="24"/>
              <w:szCs w:val="24"/>
            </w:rPr>
            <w:t>04/07/2024</w:t>
          </w:r>
        </w:sdtContent>
      </w:sdt>
      <w:r w:rsidRPr="00F00262">
        <w:rPr>
          <w:rFonts w:ascii="David" w:eastAsia="David" w:hAnsi="David" w:cs="David" w:hint="cs"/>
          <w:b/>
          <w:bCs/>
          <w:sz w:val="24"/>
          <w:szCs w:val="24"/>
          <w:rtl/>
        </w:rPr>
        <w:t>.</w:t>
      </w:r>
    </w:p>
    <w:p w:rsidR="00F00262" w:rsidRPr="00F00262" w:rsidRDefault="00F00262" w:rsidP="00F00262">
      <w:pPr>
        <w:spacing w:after="0" w:line="240" w:lineRule="auto"/>
        <w:rPr>
          <w:rFonts w:ascii="David" w:eastAsia="David" w:hAnsi="David" w:cs="David"/>
          <w:sz w:val="24"/>
          <w:szCs w:val="24"/>
          <w:rtl/>
        </w:rPr>
      </w:pPr>
    </w:p>
    <w:p w:rsidR="00F00262" w:rsidRPr="00F00262" w:rsidRDefault="00F00262" w:rsidP="00F00262">
      <w:pPr>
        <w:spacing w:after="0" w:line="240" w:lineRule="auto"/>
        <w:rPr>
          <w:rFonts w:ascii="David" w:eastAsia="David" w:hAnsi="David" w:cs="David"/>
          <w:sz w:val="24"/>
          <w:szCs w:val="24"/>
          <w:rtl/>
        </w:rPr>
      </w:pPr>
    </w:p>
    <w:p w:rsidR="00F00262" w:rsidRPr="00F00262" w:rsidRDefault="00F00262" w:rsidP="00F00262">
      <w:pPr>
        <w:spacing w:after="0" w:line="240" w:lineRule="auto"/>
        <w:jc w:val="both"/>
        <w:rPr>
          <w:rFonts w:ascii="David" w:eastAsia="David" w:hAnsi="David" w:cs="David"/>
          <w:sz w:val="24"/>
          <w:szCs w:val="24"/>
          <w:rtl/>
        </w:rPr>
      </w:pPr>
      <w:r w:rsidRPr="00F00262">
        <w:rPr>
          <w:rFonts w:ascii="David" w:eastAsia="David" w:hAnsi="David" w:cs="David" w:hint="cs"/>
          <w:sz w:val="24"/>
          <w:szCs w:val="24"/>
          <w:rtl/>
        </w:rPr>
        <w:t xml:space="preserve">  </w:t>
      </w:r>
    </w:p>
    <w:sectPr w:rsidR="00F00262" w:rsidRPr="00F00262"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673" w:rsidRDefault="00FD5673" w:rsidP="00F00262">
      <w:pPr>
        <w:spacing w:after="0" w:line="240" w:lineRule="auto"/>
      </w:pPr>
      <w:r>
        <w:separator/>
      </w:r>
    </w:p>
  </w:endnote>
  <w:endnote w:type="continuationSeparator" w:id="0">
    <w:p w:rsidR="00FD5673" w:rsidRDefault="00FD5673" w:rsidP="00F00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2D" w:rsidRDefault="00D64A2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0262">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D64A2D">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D64A2D">
      <w:rPr>
        <w:rStyle w:val="a8"/>
        <w:rtl/>
      </w:rPr>
      <w:t>4</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2D" w:rsidRDefault="00D64A2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673" w:rsidRDefault="00FD5673" w:rsidP="00F00262">
      <w:pPr>
        <w:spacing w:after="0" w:line="240" w:lineRule="auto"/>
      </w:pPr>
      <w:r>
        <w:separator/>
      </w:r>
    </w:p>
  </w:footnote>
  <w:footnote w:type="continuationSeparator" w:id="0">
    <w:p w:rsidR="00FD5673" w:rsidRDefault="00FD5673" w:rsidP="00F002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2D" w:rsidRDefault="00D64A2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F00262">
    <w:pPr>
      <w:pStyle w:val="a3"/>
      <w:jc w:val="center"/>
      <w:rPr>
        <w:rFonts w:cs="FrankRuehl"/>
        <w:noProof w:val="0"/>
        <w:sz w:val="28"/>
        <w:szCs w:val="28"/>
        <w:rtl/>
      </w:rPr>
    </w:pPr>
    <w:r>
      <w:rPr>
        <w:rFonts w:cs="FrankRuehl"/>
        <w:sz w:val="28"/>
        <w:szCs w:val="28"/>
      </w:rPr>
      <w:drawing>
        <wp:inline distT="0" distB="0" distL="0" distR="0" wp14:anchorId="70E3FF9F" wp14:editId="75D265A7">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CA4A66">
      <w:trPr>
        <w:trHeight w:hRule="exact" w:val="670"/>
        <w:jc w:val="center"/>
      </w:trPr>
      <w:sdt>
        <w:sdtPr>
          <w:rPr>
            <w:rtl/>
          </w:rPr>
          <w:alias w:val="1174"/>
          <w:tag w:val="1174"/>
          <w:id w:val="-1775709220"/>
          <w:text/>
        </w:sdtPr>
        <w:sdtEndPr/>
        <w:sdtContent>
          <w:tc>
            <w:tcPr>
              <w:tcW w:w="8505" w:type="dxa"/>
            </w:tcPr>
            <w:p w:rsidR="00694556" w:rsidRDefault="00F0026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rsidRPr="00F00262" w:rsidTr="00CA4A66">
      <w:trPr>
        <w:trHeight w:val="337"/>
        <w:jc w:val="center"/>
      </w:trPr>
      <w:tc>
        <w:tcPr>
          <w:tcW w:w="8505" w:type="dxa"/>
        </w:tcPr>
        <w:p w:rsidR="00957C90" w:rsidRPr="00F00262" w:rsidRDefault="00FD5673" w:rsidP="00F00262">
          <w:pPr>
            <w:rPr>
              <w:rFonts w:ascii="David" w:hAnsi="David" w:cs="David"/>
              <w:b/>
              <w:bCs/>
              <w:sz w:val="26"/>
              <w:szCs w:val="26"/>
              <w:rtl/>
            </w:rPr>
          </w:pPr>
          <w:sdt>
            <w:sdtPr>
              <w:rPr>
                <w:rFonts w:ascii="David" w:hAnsi="David" w:cs="David"/>
                <w:b/>
                <w:bCs/>
                <w:sz w:val="26"/>
                <w:szCs w:val="26"/>
                <w:rtl/>
              </w:rPr>
              <w:alias w:val="1170"/>
              <w:tag w:val="1170"/>
              <w:id w:val="299038016"/>
              <w:text w:multiLine="1"/>
            </w:sdtPr>
            <w:sdtEndPr/>
            <w:sdtContent>
              <w:r w:rsidR="00F00262" w:rsidRPr="00F00262">
                <w:rPr>
                  <w:rFonts w:ascii="David" w:hAnsi="David" w:cs="David"/>
                  <w:b/>
                  <w:bCs/>
                  <w:sz w:val="26"/>
                  <w:szCs w:val="26"/>
                  <w:rtl/>
                </w:rPr>
                <w:t>א"פ</w:t>
              </w:r>
            </w:sdtContent>
          </w:sdt>
          <w:r w:rsidR="00F00262" w:rsidRPr="00F00262">
            <w:rPr>
              <w:rFonts w:ascii="David" w:hAnsi="David" w:cs="David"/>
              <w:b/>
              <w:bCs/>
              <w:sz w:val="26"/>
              <w:szCs w:val="26"/>
              <w:rtl/>
            </w:rPr>
            <w:t xml:space="preserve"> </w:t>
          </w:r>
          <w:bookmarkStart w:id="0" w:name="_GoBack"/>
          <w:sdt>
            <w:sdtPr>
              <w:rPr>
                <w:rFonts w:ascii="David" w:hAnsi="David" w:cs="David"/>
                <w:b/>
                <w:bCs/>
                <w:sz w:val="26"/>
                <w:szCs w:val="26"/>
                <w:rtl/>
              </w:rPr>
              <w:alias w:val="1171"/>
              <w:tag w:val="1171"/>
              <w:id w:val="81650337"/>
              <w:text w:multiLine="1"/>
            </w:sdtPr>
            <w:sdtEndPr/>
            <w:sdtContent>
              <w:r w:rsidR="00F00262" w:rsidRPr="00F00262">
                <w:rPr>
                  <w:rFonts w:ascii="David" w:hAnsi="David" w:cs="David"/>
                  <w:b/>
                  <w:bCs/>
                  <w:sz w:val="26"/>
                  <w:szCs w:val="26"/>
                  <w:rtl/>
                </w:rPr>
                <w:t>10986-07-24</w:t>
              </w:r>
            </w:sdtContent>
          </w:sdt>
          <w:bookmarkEnd w:id="0"/>
          <w:r w:rsidR="00F00262" w:rsidRPr="00F00262">
            <w:rPr>
              <w:rFonts w:ascii="David" w:hAnsi="David" w:cs="David"/>
              <w:b/>
              <w:bCs/>
              <w:sz w:val="26"/>
              <w:szCs w:val="26"/>
              <w:rtl/>
            </w:rPr>
            <w:t xml:space="preserve"> </w:t>
          </w:r>
          <w:sdt>
            <w:sdtPr>
              <w:rPr>
                <w:rFonts w:ascii="David" w:hAnsi="David" w:cs="David"/>
                <w:b/>
                <w:bCs/>
                <w:sz w:val="26"/>
                <w:szCs w:val="26"/>
                <w:rtl/>
              </w:rPr>
              <w:alias w:val="1172"/>
              <w:tag w:val="1172"/>
              <w:id w:val="-1742169342"/>
              <w:text w:multiLine="1"/>
            </w:sdtPr>
            <w:sdtEndPr/>
            <w:sdtContent>
              <w:r w:rsidR="00F00262" w:rsidRPr="00F00262">
                <w:rPr>
                  <w:rFonts w:ascii="David" w:hAnsi="David" w:cs="David"/>
                  <w:b/>
                  <w:bCs/>
                  <w:sz w:val="26"/>
                  <w:szCs w:val="26"/>
                  <w:rtl/>
                </w:rPr>
                <w:t>משרד הרווחה והשירותים החברתיים נ' פלונים</w:t>
              </w:r>
            </w:sdtContent>
          </w:sdt>
          <w:r w:rsidR="00F00262" w:rsidRPr="00F00262">
            <w:rPr>
              <w:rFonts w:ascii="David" w:hAnsi="David" w:cs="David"/>
              <w:sz w:val="20"/>
              <w:szCs w:val="20"/>
              <w:rtl/>
            </w:rPr>
            <w:t xml:space="preserve"> </w:t>
          </w:r>
        </w:p>
      </w:tc>
    </w:tr>
  </w:tbl>
  <w:p w:rsidR="00694556" w:rsidRDefault="00F0026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A2D" w:rsidRDefault="00D64A2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F0287"/>
    <w:multiLevelType w:val="hybridMultilevel"/>
    <w:tmpl w:val="62D4E7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70B"/>
    <w:rsid w:val="002B029B"/>
    <w:rsid w:val="0073170B"/>
    <w:rsid w:val="00A16DD5"/>
    <w:rsid w:val="00CA4A66"/>
    <w:rsid w:val="00D64A2D"/>
    <w:rsid w:val="00F00262"/>
    <w:rsid w:val="00F23007"/>
    <w:rsid w:val="00FD567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6E2C37-6D9E-4A5E-B771-79B0A83D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00262"/>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F00262"/>
    <w:rPr>
      <w:rFonts w:ascii="Times New Roman" w:eastAsia="Times New Roman" w:hAnsi="Times New Roman" w:cs="David"/>
      <w:noProof/>
      <w:sz w:val="24"/>
      <w:szCs w:val="24"/>
    </w:rPr>
  </w:style>
  <w:style w:type="paragraph" w:styleId="a5">
    <w:name w:val="footer"/>
    <w:basedOn w:val="a"/>
    <w:link w:val="a6"/>
    <w:rsid w:val="00F00262"/>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F00262"/>
    <w:rPr>
      <w:rFonts w:ascii="Times New Roman" w:eastAsia="Times New Roman" w:hAnsi="Times New Roman" w:cs="David"/>
      <w:noProof/>
      <w:sz w:val="24"/>
      <w:szCs w:val="24"/>
    </w:rPr>
  </w:style>
  <w:style w:type="table" w:styleId="a7">
    <w:name w:val="Table Grid"/>
    <w:basedOn w:val="a1"/>
    <w:rsid w:val="00F0026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00262"/>
  </w:style>
  <w:style w:type="table" w:customStyle="1" w:styleId="1">
    <w:name w:val="רשת טבלה1"/>
    <w:basedOn w:val="a1"/>
    <w:next w:val="a7"/>
    <w:rsid w:val="00F0026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F00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6F13F83E7E448D8288F66D2BC862DC"/>
        <w:category>
          <w:name w:val="כללי"/>
          <w:gallery w:val="placeholder"/>
        </w:category>
        <w:types>
          <w:type w:val="bbPlcHdr"/>
        </w:types>
        <w:behaviors>
          <w:behavior w:val="content"/>
        </w:behaviors>
        <w:guid w:val="{3C875B36-738C-438F-9954-DAC224BD9DD4}"/>
      </w:docPartPr>
      <w:docPartBody>
        <w:p w:rsidR="000F39FD" w:rsidRDefault="008665FA" w:rsidP="008665FA">
          <w:pPr>
            <w:pStyle w:val="FD6F13F83E7E448D8288F66D2BC862DC"/>
          </w:pPr>
          <w:r>
            <w:rPr>
              <w:rFonts w:cs="David"/>
              <w:b/>
              <w:bCs/>
              <w:rtl/>
            </w:rPr>
            <w:t>שם פרטי חותם</w:t>
          </w:r>
        </w:p>
      </w:docPartBody>
    </w:docPart>
    <w:docPart>
      <w:docPartPr>
        <w:name w:val="75112D7FB0F640038064CD5C39BAA1C5"/>
        <w:category>
          <w:name w:val="כללי"/>
          <w:gallery w:val="placeholder"/>
        </w:category>
        <w:types>
          <w:type w:val="bbPlcHdr"/>
        </w:types>
        <w:behaviors>
          <w:behavior w:val="content"/>
        </w:behaviors>
        <w:guid w:val="{9B6BDAAE-E7DE-4A10-BB58-F9A734475953}"/>
      </w:docPartPr>
      <w:docPartBody>
        <w:p w:rsidR="000F39FD" w:rsidRDefault="008665FA" w:rsidP="008665FA">
          <w:pPr>
            <w:pStyle w:val="75112D7FB0F640038064CD5C39BAA1C5"/>
          </w:pPr>
          <w:r>
            <w:rPr>
              <w:rFonts w:cs="David"/>
              <w:b/>
              <w:bCs/>
              <w:rtl/>
            </w:rPr>
            <w:t>שם משפחה חותם</w:t>
          </w:r>
        </w:p>
      </w:docPartBody>
    </w:docPart>
    <w:docPart>
      <w:docPartPr>
        <w:name w:val="AB2D6275D642467B8D1C8CDBF6AAB251"/>
        <w:category>
          <w:name w:val="כללי"/>
          <w:gallery w:val="placeholder"/>
        </w:category>
        <w:types>
          <w:type w:val="bbPlcHdr"/>
        </w:types>
        <w:behaviors>
          <w:behavior w:val="content"/>
        </w:behaviors>
        <w:guid w:val="{48A14E46-495C-4CBE-A419-2F1F40091BED}"/>
      </w:docPartPr>
      <w:docPartBody>
        <w:p w:rsidR="000F39FD" w:rsidRDefault="008665FA" w:rsidP="008665FA">
          <w:pPr>
            <w:pStyle w:val="AB2D6275D642467B8D1C8CDBF6AAB251"/>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9E9"/>
    <w:rsid w:val="000F39FD"/>
    <w:rsid w:val="008665FA"/>
    <w:rsid w:val="008C0161"/>
    <w:rsid w:val="00C419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B5D7E8986D4483BBA992A06B9E8E431">
    <w:name w:val="CB5D7E8986D4483BBA992A06B9E8E431"/>
    <w:rsid w:val="00C419E9"/>
    <w:pPr>
      <w:bidi/>
    </w:pPr>
  </w:style>
  <w:style w:type="paragraph" w:customStyle="1" w:styleId="6713534C7776408F8BEAB43D00BCC1AC">
    <w:name w:val="6713534C7776408F8BEAB43D00BCC1AC"/>
    <w:rsid w:val="00C419E9"/>
    <w:pPr>
      <w:bidi/>
    </w:pPr>
  </w:style>
  <w:style w:type="paragraph" w:customStyle="1" w:styleId="972AEE76EBC943FF9B43CBA92BA762C3">
    <w:name w:val="972AEE76EBC943FF9B43CBA92BA762C3"/>
    <w:rsid w:val="00C419E9"/>
    <w:pPr>
      <w:bidi/>
    </w:pPr>
  </w:style>
  <w:style w:type="paragraph" w:customStyle="1" w:styleId="3F68D41B0258403F88CCB9DA22D87514">
    <w:name w:val="3F68D41B0258403F88CCB9DA22D87514"/>
    <w:rsid w:val="00C419E9"/>
    <w:pPr>
      <w:bidi/>
    </w:pPr>
  </w:style>
  <w:style w:type="paragraph" w:customStyle="1" w:styleId="E5FF9A4AF6F94847A42999E37A8FA6F2">
    <w:name w:val="E5FF9A4AF6F94847A42999E37A8FA6F2"/>
    <w:rsid w:val="00C419E9"/>
    <w:pPr>
      <w:bidi/>
    </w:pPr>
  </w:style>
  <w:style w:type="paragraph" w:customStyle="1" w:styleId="4D977F413DA049F39FC986129CC0C7EE">
    <w:name w:val="4D977F413DA049F39FC986129CC0C7EE"/>
    <w:rsid w:val="00C419E9"/>
    <w:pPr>
      <w:bidi/>
    </w:pPr>
  </w:style>
  <w:style w:type="paragraph" w:customStyle="1" w:styleId="C884EEABCA794897B051736A47031B63">
    <w:name w:val="C884EEABCA794897B051736A47031B63"/>
    <w:rsid w:val="00C419E9"/>
    <w:pPr>
      <w:bidi/>
    </w:pPr>
  </w:style>
  <w:style w:type="character" w:styleId="a3">
    <w:name w:val="Placeholder Text"/>
    <w:basedOn w:val="a0"/>
    <w:uiPriority w:val="99"/>
    <w:semiHidden/>
    <w:rsid w:val="00C419E9"/>
    <w:rPr>
      <w:color w:val="808080"/>
    </w:rPr>
  </w:style>
  <w:style w:type="paragraph" w:customStyle="1" w:styleId="B08724A1AC3544CF82F991951B193728">
    <w:name w:val="B08724A1AC3544CF82F991951B193728"/>
    <w:rsid w:val="00C419E9"/>
    <w:pPr>
      <w:bidi/>
    </w:pPr>
  </w:style>
  <w:style w:type="paragraph" w:customStyle="1" w:styleId="0F26F63D1D1F440DAEE7260033A83592">
    <w:name w:val="0F26F63D1D1F440DAEE7260033A83592"/>
    <w:rsid w:val="008665FA"/>
    <w:pPr>
      <w:bidi/>
    </w:pPr>
  </w:style>
  <w:style w:type="paragraph" w:customStyle="1" w:styleId="FD4110F88EA24F61B1A6CFCE2052CF96">
    <w:name w:val="FD4110F88EA24F61B1A6CFCE2052CF96"/>
    <w:rsid w:val="008665FA"/>
    <w:pPr>
      <w:bidi/>
    </w:pPr>
  </w:style>
  <w:style w:type="paragraph" w:customStyle="1" w:styleId="D714EA5183C2438EB6EB167CC7D7EA47">
    <w:name w:val="D714EA5183C2438EB6EB167CC7D7EA47"/>
    <w:rsid w:val="008665FA"/>
    <w:pPr>
      <w:bidi/>
    </w:pPr>
  </w:style>
  <w:style w:type="paragraph" w:customStyle="1" w:styleId="FD6F13F83E7E448D8288F66D2BC862DC">
    <w:name w:val="FD6F13F83E7E448D8288F66D2BC862DC"/>
    <w:rsid w:val="008665FA"/>
    <w:pPr>
      <w:bidi/>
    </w:pPr>
  </w:style>
  <w:style w:type="paragraph" w:customStyle="1" w:styleId="75112D7FB0F640038064CD5C39BAA1C5">
    <w:name w:val="75112D7FB0F640038064CD5C39BAA1C5"/>
    <w:rsid w:val="008665FA"/>
    <w:pPr>
      <w:bidi/>
    </w:pPr>
  </w:style>
  <w:style w:type="paragraph" w:customStyle="1" w:styleId="AB2D6275D642467B8D1C8CDBF6AAB251">
    <w:name w:val="AB2D6275D642467B8D1C8CDBF6AAB251"/>
    <w:rsid w:val="008665F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1274</Words>
  <Characters>6370</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עידית בן-דב ג'וליאן</dc:creator>
  <cp:keywords/>
  <dc:description/>
  <cp:lastModifiedBy>נעה בקר</cp:lastModifiedBy>
  <cp:revision>2</cp:revision>
  <dcterms:created xsi:type="dcterms:W3CDTF">2024-07-21T11:01:00Z</dcterms:created>
  <dcterms:modified xsi:type="dcterms:W3CDTF">2024-07-21T11:01:00Z</dcterms:modified>
</cp:coreProperties>
</file>